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3B7F2A" w:rsidRPr="00BD78B1" w14:paraId="3006B32E" w14:textId="77777777" w:rsidTr="00061D71">
        <w:trPr>
          <w:cantSplit/>
        </w:trPr>
        <w:sdt>
          <w:sdtPr>
            <w:rPr>
              <w:lang w:val="it-IT"/>
            </w:rPr>
            <w:alias w:val="Titel (wird automatisch in die Fußzeile übernommen)"/>
            <w:tag w:val="ccStart"/>
            <w:id w:val="3485716"/>
            <w:placeholder>
              <w:docPart w:val="0A6C5BCD6284461FA0BC6C0CC9FADD8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5159" w:type="dxa"/>
                <w:tcMar>
                  <w:bottom w:w="510" w:type="dxa"/>
                </w:tcMar>
              </w:tcPr>
              <w:p w14:paraId="583CD00F" w14:textId="1F7F2D1E" w:rsidR="003B7F2A" w:rsidRPr="00604E40" w:rsidRDefault="006334F9" w:rsidP="00D76B8C">
                <w:pPr>
                  <w:pStyle w:val="Titel"/>
                  <w:rPr>
                    <w:lang w:val="it-IT"/>
                  </w:rPr>
                </w:pPr>
                <w:r>
                  <w:rPr>
                    <w:lang w:val="it-IT"/>
                  </w:rPr>
                  <w:t>Novità dell’inverno 2020, offerte non solo per sciatori</w:t>
                </w:r>
              </w:p>
            </w:tc>
          </w:sdtContent>
        </w:sdt>
      </w:tr>
    </w:tbl>
    <w:p w14:paraId="4DBD6B5D" w14:textId="00495588" w:rsidR="00224A10" w:rsidRPr="00224A10" w:rsidRDefault="006334F9" w:rsidP="00AF1796">
      <w:pPr>
        <w:pStyle w:val="Intro"/>
        <w:jc w:val="both"/>
        <w:rPr>
          <w:color w:val="000000"/>
          <w:lang w:val="it-IT"/>
        </w:rPr>
      </w:pPr>
      <w:bookmarkStart w:id="0" w:name="_Toc480287288"/>
      <w:r w:rsidRPr="006334F9">
        <w:rPr>
          <w:color w:val="000000"/>
          <w:lang w:val="it-IT"/>
        </w:rPr>
        <w:t xml:space="preserve">La pandemia non ha frenato gli investimenti nelle stazioni sciistiche tirolesi che inaugurano la stagione 2020/21 con nuovi impianti all’avanguardia e offerte per sciatori ed escursionisti. Una grande novità è la pista di sci di fondo a lunga percorrenza che collega Lienz in </w:t>
      </w:r>
      <w:proofErr w:type="spellStart"/>
      <w:r w:rsidRPr="006334F9">
        <w:rPr>
          <w:color w:val="000000"/>
          <w:lang w:val="it-IT"/>
        </w:rPr>
        <w:t>Osttirol</w:t>
      </w:r>
      <w:proofErr w:type="spellEnd"/>
      <w:r w:rsidRPr="006334F9">
        <w:rPr>
          <w:color w:val="000000"/>
          <w:lang w:val="it-IT"/>
        </w:rPr>
        <w:t xml:space="preserve"> a Cortina d'Ampezzo. 7 notti a partire da 705 euro a persona con mezza pensione, servizio di trasporto bagagli e rientro in bus</w:t>
      </w:r>
      <w:r w:rsidR="0014610C" w:rsidRPr="0014610C">
        <w:rPr>
          <w:color w:val="000000"/>
          <w:lang w:val="it-IT"/>
        </w:rPr>
        <w:t>.</w:t>
      </w:r>
    </w:p>
    <w:p w14:paraId="7724C5EC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2FCBD7CA" w14:textId="04B74030" w:rsidR="00AF1796" w:rsidRPr="006334F9" w:rsidRDefault="006334F9" w:rsidP="00AF1796">
      <w:pPr>
        <w:jc w:val="both"/>
        <w:rPr>
          <w:rFonts w:asciiTheme="majorHAnsi" w:hAnsiTheme="majorHAnsi"/>
          <w:color w:val="000000"/>
          <w:sz w:val="28"/>
          <w:lang w:val="it-IT"/>
        </w:rPr>
      </w:pPr>
      <w:r w:rsidRPr="006334F9">
        <w:rPr>
          <w:rFonts w:asciiTheme="majorHAnsi" w:hAnsiTheme="majorHAnsi"/>
          <w:color w:val="000000"/>
          <w:sz w:val="28"/>
          <w:lang w:val="it-IT"/>
        </w:rPr>
        <w:t>Piste, Sentieri, Slittino</w:t>
      </w:r>
    </w:p>
    <w:p w14:paraId="23C96E1F" w14:textId="6979E79C" w:rsidR="006334F9" w:rsidRPr="00AF1796" w:rsidRDefault="006334F9" w:rsidP="00AF1796">
      <w:pPr>
        <w:jc w:val="both"/>
        <w:rPr>
          <w:b/>
          <w:bCs/>
          <w:color w:val="000000"/>
          <w:sz w:val="24"/>
          <w:lang w:val="it-IT"/>
        </w:rPr>
      </w:pPr>
      <w:r>
        <w:rPr>
          <w:b/>
          <w:bCs/>
          <w:color w:val="000000"/>
          <w:sz w:val="24"/>
          <w:lang w:val="it-IT"/>
        </w:rPr>
        <w:t>Nuova pista di sci di fondo a lunga percorrenza da Lienz a Cortina d’Ampezzo</w:t>
      </w:r>
    </w:p>
    <w:p w14:paraId="6C14A29A" w14:textId="77777777" w:rsidR="006334F9" w:rsidRPr="00FE27C5" w:rsidRDefault="006334F9" w:rsidP="00AF1796">
      <w:pPr>
        <w:jc w:val="both"/>
        <w:rPr>
          <w:color w:val="000000"/>
          <w:lang w:val="it-IT"/>
        </w:rPr>
      </w:pPr>
      <w:r w:rsidRPr="00FE27C5">
        <w:rPr>
          <w:color w:val="000000"/>
          <w:lang w:val="it-IT"/>
        </w:rPr>
        <w:t xml:space="preserve">Con una lunghezza di 35 chilometri, la </w:t>
      </w:r>
      <w:r w:rsidRPr="00FE27C5">
        <w:rPr>
          <w:bCs/>
          <w:color w:val="000000"/>
          <w:lang w:val="it-IT"/>
        </w:rPr>
        <w:t xml:space="preserve">nuova pista da sci di fondo </w:t>
      </w:r>
      <w:proofErr w:type="spellStart"/>
      <w:r w:rsidRPr="00FE27C5">
        <w:rPr>
          <w:bCs/>
          <w:color w:val="000000"/>
          <w:lang w:val="it-IT"/>
        </w:rPr>
        <w:t>Pustertal-Loipe</w:t>
      </w:r>
      <w:proofErr w:type="spellEnd"/>
      <w:r w:rsidRPr="00FE27C5">
        <w:rPr>
          <w:color w:val="000000"/>
          <w:lang w:val="it-IT"/>
        </w:rPr>
        <w:t xml:space="preserve"> apre nell'inverno 2020/21 per collegarsi ed estendere l'attuale sentiero </w:t>
      </w:r>
      <w:r w:rsidRPr="00FE27C5">
        <w:rPr>
          <w:bCs/>
          <w:color w:val="000000"/>
          <w:lang w:val="it-IT"/>
        </w:rPr>
        <w:t>Trans Dolomiti fino a Lienz</w:t>
      </w:r>
      <w:r w:rsidRPr="00FE27C5">
        <w:rPr>
          <w:color w:val="000000"/>
          <w:lang w:val="it-IT"/>
        </w:rPr>
        <w:t>, nell’</w:t>
      </w:r>
      <w:proofErr w:type="spellStart"/>
      <w:r w:rsidRPr="00FE27C5">
        <w:rPr>
          <w:color w:val="000000"/>
          <w:lang w:val="it-IT"/>
        </w:rPr>
        <w:t>Osttirol</w:t>
      </w:r>
      <w:proofErr w:type="spellEnd"/>
      <w:r w:rsidRPr="00FE27C5">
        <w:rPr>
          <w:color w:val="000000"/>
          <w:lang w:val="it-IT"/>
        </w:rPr>
        <w:t xml:space="preserve"> (Tirolo Orientale). Questo significa che per la prima volta ci sarà un </w:t>
      </w:r>
      <w:r w:rsidRPr="00FE27C5">
        <w:rPr>
          <w:bCs/>
          <w:color w:val="000000"/>
          <w:lang w:val="it-IT"/>
        </w:rPr>
        <w:t>collegamento al 100% su neve</w:t>
      </w:r>
      <w:r w:rsidRPr="00FE27C5">
        <w:rPr>
          <w:color w:val="000000"/>
          <w:lang w:val="it-IT"/>
        </w:rPr>
        <w:t xml:space="preserve"> per gli sciatori di fondo da Lienz in Austria attraverso la Valle </w:t>
      </w:r>
      <w:proofErr w:type="spellStart"/>
      <w:r w:rsidRPr="00FE27C5">
        <w:rPr>
          <w:color w:val="000000"/>
          <w:lang w:val="it-IT"/>
        </w:rPr>
        <w:t>Pustertal</w:t>
      </w:r>
      <w:proofErr w:type="spellEnd"/>
      <w:r w:rsidRPr="00FE27C5">
        <w:rPr>
          <w:color w:val="000000"/>
          <w:lang w:val="it-IT"/>
        </w:rPr>
        <w:t xml:space="preserve"> fino a Cortina d'Ampezzo in Italia. La nuova sezione da Lienz a </w:t>
      </w:r>
      <w:proofErr w:type="spellStart"/>
      <w:r w:rsidRPr="00FE27C5">
        <w:rPr>
          <w:color w:val="000000"/>
          <w:lang w:val="it-IT"/>
        </w:rPr>
        <w:t>Sillian</w:t>
      </w:r>
      <w:proofErr w:type="spellEnd"/>
      <w:r w:rsidRPr="00FE27C5">
        <w:rPr>
          <w:color w:val="000000"/>
          <w:lang w:val="it-IT"/>
        </w:rPr>
        <w:t xml:space="preserve"> è adatta per sciatori di cross-country di tutte le abilità.</w:t>
      </w:r>
    </w:p>
    <w:p w14:paraId="5E615595" w14:textId="372D81B2" w:rsidR="006334F9" w:rsidRPr="00FE27C5" w:rsidRDefault="00FE27C5" w:rsidP="00AF1796">
      <w:pPr>
        <w:jc w:val="both"/>
        <w:rPr>
          <w:color w:val="000000"/>
          <w:lang w:val="it-IT"/>
        </w:rPr>
      </w:pPr>
      <w:r w:rsidRPr="00FE27C5">
        <w:rPr>
          <w:bCs/>
          <w:color w:val="000000"/>
          <w:u w:val="single"/>
          <w:lang w:val="it-IT"/>
        </w:rPr>
        <w:t>Pacchetto:</w:t>
      </w:r>
      <w:r>
        <w:rPr>
          <w:bCs/>
          <w:color w:val="000000"/>
          <w:lang w:val="it-IT"/>
        </w:rPr>
        <w:t xml:space="preserve"> 7</w:t>
      </w:r>
      <w:r w:rsidR="006334F9" w:rsidRPr="00FE27C5">
        <w:rPr>
          <w:bCs/>
          <w:color w:val="000000"/>
          <w:lang w:val="it-IT"/>
        </w:rPr>
        <w:t xml:space="preserve"> notti</w:t>
      </w:r>
      <w:r w:rsidR="006334F9" w:rsidRPr="00FE27C5">
        <w:rPr>
          <w:color w:val="000000"/>
          <w:lang w:val="it-IT"/>
        </w:rPr>
        <w:t xml:space="preserve"> con mezza pensione, skipass sci di fondo "Dolomiti </w:t>
      </w:r>
      <w:proofErr w:type="spellStart"/>
      <w:r w:rsidR="006334F9" w:rsidRPr="00FE27C5">
        <w:rPr>
          <w:color w:val="000000"/>
          <w:lang w:val="it-IT"/>
        </w:rPr>
        <w:t>Nordicski</w:t>
      </w:r>
      <w:proofErr w:type="spellEnd"/>
      <w:r w:rsidR="006334F9" w:rsidRPr="00FE27C5">
        <w:rPr>
          <w:color w:val="000000"/>
          <w:lang w:val="it-IT"/>
        </w:rPr>
        <w:t xml:space="preserve">", servizio di trasporto bagagli e bus gratuito in Alta Val Pusteria, </w:t>
      </w:r>
      <w:proofErr w:type="spellStart"/>
      <w:r w:rsidR="006334F9" w:rsidRPr="00FE27C5">
        <w:rPr>
          <w:color w:val="000000"/>
          <w:lang w:val="it-IT"/>
        </w:rPr>
        <w:t>Osttirol</w:t>
      </w:r>
      <w:proofErr w:type="spellEnd"/>
      <w:r w:rsidR="006334F9" w:rsidRPr="00FE27C5">
        <w:rPr>
          <w:color w:val="000000"/>
          <w:lang w:val="it-IT"/>
        </w:rPr>
        <w:t xml:space="preserve"> e Alto Adige, a partire </w:t>
      </w:r>
      <w:r w:rsidR="006334F9" w:rsidRPr="00FE27C5">
        <w:rPr>
          <w:bCs/>
          <w:color w:val="000000"/>
          <w:lang w:val="it-IT"/>
        </w:rPr>
        <w:t>da 705 euro</w:t>
      </w:r>
      <w:r w:rsidR="006334F9" w:rsidRPr="00FE27C5">
        <w:rPr>
          <w:color w:val="000000"/>
          <w:lang w:val="it-IT"/>
        </w:rPr>
        <w:t xml:space="preserve"> a persona per alloggi di categoria tre stelle. Offerta valida dal 7 gennaio al 14 marzo 2021. Per info e prenotazioni: </w:t>
      </w:r>
      <w:hyperlink r:id="rId8" w:history="1">
        <w:r w:rsidR="006334F9" w:rsidRPr="00FE27C5">
          <w:rPr>
            <w:rStyle w:val="Hyperlink"/>
            <w:lang w:val="it-IT"/>
          </w:rPr>
          <w:t>www.osttirol.com/it/prenota-vacanza/offerte/details/trans-dolomiti-pauschale/</w:t>
        </w:r>
      </w:hyperlink>
    </w:p>
    <w:p w14:paraId="334F7953" w14:textId="77777777" w:rsidR="006334F9" w:rsidRDefault="006334F9" w:rsidP="00E82F6F">
      <w:pPr>
        <w:spacing w:after="0"/>
        <w:jc w:val="both"/>
        <w:rPr>
          <w:color w:val="000000"/>
          <w:lang w:val="it-IT"/>
        </w:rPr>
      </w:pPr>
    </w:p>
    <w:p w14:paraId="7761FA72" w14:textId="40F83465" w:rsidR="00740DE6" w:rsidRDefault="006334F9" w:rsidP="00AF1796">
      <w:pPr>
        <w:jc w:val="both"/>
        <w:rPr>
          <w:b/>
          <w:bCs/>
          <w:color w:val="000000"/>
          <w:sz w:val="24"/>
          <w:lang w:val="it-IT"/>
        </w:rPr>
      </w:pPr>
      <w:r>
        <w:rPr>
          <w:b/>
          <w:bCs/>
          <w:color w:val="000000"/>
          <w:sz w:val="24"/>
          <w:lang w:val="it-IT"/>
        </w:rPr>
        <w:t xml:space="preserve">Passeggiate invernali e ski </w:t>
      </w:r>
      <w:proofErr w:type="spellStart"/>
      <w:r>
        <w:rPr>
          <w:b/>
          <w:bCs/>
          <w:color w:val="000000"/>
          <w:sz w:val="24"/>
          <w:lang w:val="it-IT"/>
        </w:rPr>
        <w:t>touring</w:t>
      </w:r>
      <w:proofErr w:type="spellEnd"/>
      <w:r>
        <w:rPr>
          <w:b/>
          <w:bCs/>
          <w:color w:val="000000"/>
          <w:sz w:val="24"/>
          <w:lang w:val="it-IT"/>
        </w:rPr>
        <w:t xml:space="preserve"> nelle Alpi di Kitzbühel</w:t>
      </w:r>
    </w:p>
    <w:p w14:paraId="0CFEDA51" w14:textId="3DAD997F" w:rsidR="006334F9" w:rsidRPr="00FE27C5" w:rsidRDefault="006334F9" w:rsidP="00AF1796">
      <w:pPr>
        <w:jc w:val="both"/>
        <w:rPr>
          <w:color w:val="000000"/>
          <w:lang w:val="it-IT"/>
        </w:rPr>
      </w:pPr>
      <w:r w:rsidRPr="00FE27C5">
        <w:rPr>
          <w:color w:val="000000"/>
          <w:lang w:val="it-IT"/>
        </w:rPr>
        <w:t xml:space="preserve">A partire da gennaio 2021, </w:t>
      </w:r>
      <w:r w:rsidRPr="00FE27C5">
        <w:rPr>
          <w:bCs/>
          <w:color w:val="000000"/>
          <w:lang w:val="it-IT"/>
        </w:rPr>
        <w:t>il famoso Sentiero nelle Alpi di Kitzbühel (KAT) avrà la sua versione invernale: KAT Ski Tour</w:t>
      </w:r>
      <w:r w:rsidRPr="00FE27C5">
        <w:rPr>
          <w:color w:val="000000"/>
          <w:lang w:val="it-IT"/>
        </w:rPr>
        <w:t xml:space="preserve">. Accompagnati da guide locali, gli sciatori e i </w:t>
      </w:r>
      <w:proofErr w:type="spellStart"/>
      <w:r w:rsidRPr="00FE27C5">
        <w:rPr>
          <w:color w:val="000000"/>
          <w:lang w:val="it-IT"/>
        </w:rPr>
        <w:t>freeriders</w:t>
      </w:r>
      <w:proofErr w:type="spellEnd"/>
      <w:r w:rsidRPr="00FE27C5">
        <w:rPr>
          <w:color w:val="000000"/>
          <w:lang w:val="it-IT"/>
        </w:rPr>
        <w:t xml:space="preserve"> possono intraprendere un'avventura lungo questo itinerario della durata di </w:t>
      </w:r>
      <w:r w:rsidRPr="00FE27C5">
        <w:rPr>
          <w:bCs/>
          <w:color w:val="000000"/>
          <w:lang w:val="it-IT"/>
        </w:rPr>
        <w:t>sette giorni attraverso le Alpi di Kitzbühel</w:t>
      </w:r>
      <w:r w:rsidRPr="00FE27C5">
        <w:rPr>
          <w:color w:val="000000"/>
          <w:lang w:val="it-IT"/>
        </w:rPr>
        <w:t xml:space="preserve"> in gruppi di massimo sette partecipanti. Gli escursionisti invece potranno intraprendere la KAT Walk </w:t>
      </w:r>
      <w:proofErr w:type="spellStart"/>
      <w:r w:rsidRPr="00FE27C5">
        <w:rPr>
          <w:color w:val="000000"/>
          <w:lang w:val="it-IT"/>
        </w:rPr>
        <w:t>Winter</w:t>
      </w:r>
      <w:proofErr w:type="spellEnd"/>
      <w:r w:rsidRPr="00FE27C5">
        <w:rPr>
          <w:color w:val="000000"/>
          <w:lang w:val="it-IT"/>
        </w:rPr>
        <w:t xml:space="preserve">. Come il suo equivalente estivo, questo sentiero a piedi a lunga distanza attraversa alcuni dei luoghi più belli delle Alpi di Kitzbühel. Si compone di </w:t>
      </w:r>
      <w:r w:rsidRPr="00FE27C5">
        <w:rPr>
          <w:bCs/>
          <w:color w:val="000000"/>
          <w:lang w:val="it-IT"/>
        </w:rPr>
        <w:t>quattro tappe per una distanza totale a piedi di 60 chilometri</w:t>
      </w:r>
      <w:r w:rsidRPr="00FE27C5">
        <w:rPr>
          <w:color w:val="000000"/>
          <w:lang w:val="it-IT"/>
        </w:rPr>
        <w:t>. I bagagli vengono trasportati per gli ospiti da un hotel all'altro.</w:t>
      </w:r>
    </w:p>
    <w:p w14:paraId="6FAE902C" w14:textId="59A7C53C" w:rsidR="00FE27C5" w:rsidRDefault="00FE27C5" w:rsidP="00FE27C5">
      <w:pPr>
        <w:jc w:val="both"/>
        <w:rPr>
          <w:i/>
          <w:color w:val="000000"/>
          <w:lang w:val="it-IT"/>
        </w:rPr>
      </w:pPr>
      <w:r w:rsidRPr="00FE27C5">
        <w:rPr>
          <w:bCs/>
          <w:color w:val="000000"/>
          <w:u w:val="single"/>
          <w:lang w:val="it-IT"/>
        </w:rPr>
        <w:t>Pacchetto:</w:t>
      </w:r>
      <w:r w:rsidRPr="00FE27C5">
        <w:rPr>
          <w:bCs/>
          <w:color w:val="000000"/>
          <w:lang w:val="it-IT"/>
        </w:rPr>
        <w:t xml:space="preserve"> </w:t>
      </w:r>
      <w:r w:rsidR="006334F9" w:rsidRPr="00FE27C5">
        <w:rPr>
          <w:bCs/>
          <w:color w:val="000000"/>
          <w:lang w:val="it-IT"/>
        </w:rPr>
        <w:t xml:space="preserve">Da gennaio a marzo 2021 sono prenotabili pacchetti </w:t>
      </w:r>
      <w:r w:rsidR="006334F9" w:rsidRPr="00FE27C5">
        <w:rPr>
          <w:color w:val="000000"/>
          <w:lang w:val="it-IT"/>
        </w:rPr>
        <w:t xml:space="preserve">di 4 giorni di escursioni invernali lungo il KAT Walk </w:t>
      </w:r>
      <w:proofErr w:type="spellStart"/>
      <w:r w:rsidR="006334F9" w:rsidRPr="00FE27C5">
        <w:rPr>
          <w:color w:val="000000"/>
          <w:lang w:val="it-IT"/>
        </w:rPr>
        <w:t>Winter</w:t>
      </w:r>
      <w:proofErr w:type="spellEnd"/>
      <w:r w:rsidR="006334F9" w:rsidRPr="00FE27C5">
        <w:rPr>
          <w:color w:val="000000"/>
          <w:lang w:val="it-IT"/>
        </w:rPr>
        <w:t xml:space="preserve"> e 5 notti con trasferimento bagagli e ottime sistemazioni con mezza pensione, incluse le mappe dei sentieri e il ritorno con i mezzi pubblici. Per prezzi e migliori offerte inviare richiesta a questo link: </w:t>
      </w:r>
      <w:hyperlink r:id="rId9" w:history="1">
        <w:bookmarkStart w:id="1" w:name="_GoBack"/>
        <w:bookmarkEnd w:id="1"/>
        <w:r w:rsidR="00BD78B1" w:rsidRPr="00674E3D">
          <w:rPr>
            <w:rStyle w:val="Hyperlink"/>
            <w:lang w:val="it-IT"/>
          </w:rPr>
          <w:t>www.kitzbueheler-alpen.com/en/kat-walk/booking/online-booking.html</w:t>
        </w:r>
      </w:hyperlink>
      <w:r>
        <w:rPr>
          <w:i/>
          <w:color w:val="000000"/>
          <w:lang w:val="it-IT"/>
        </w:rPr>
        <w:br w:type="page"/>
      </w:r>
    </w:p>
    <w:p w14:paraId="1A441E93" w14:textId="5173EC20" w:rsidR="006334F9" w:rsidRPr="006334F9" w:rsidRDefault="006334F9" w:rsidP="00AF1796">
      <w:pPr>
        <w:jc w:val="both"/>
        <w:rPr>
          <w:b/>
          <w:color w:val="000000"/>
          <w:lang w:val="it-IT"/>
        </w:rPr>
      </w:pPr>
      <w:r w:rsidRPr="006334F9">
        <w:rPr>
          <w:b/>
          <w:color w:val="000000"/>
          <w:lang w:val="it-IT"/>
        </w:rPr>
        <w:lastRenderedPageBreak/>
        <w:t xml:space="preserve">Passeggiate invernali nella valle </w:t>
      </w:r>
      <w:proofErr w:type="spellStart"/>
      <w:r w:rsidRPr="006334F9">
        <w:rPr>
          <w:b/>
          <w:color w:val="000000"/>
          <w:lang w:val="it-IT"/>
        </w:rPr>
        <w:t>Wipptal</w:t>
      </w:r>
      <w:proofErr w:type="spellEnd"/>
      <w:r w:rsidRPr="006334F9">
        <w:rPr>
          <w:b/>
          <w:color w:val="000000"/>
          <w:lang w:val="it-IT"/>
        </w:rPr>
        <w:t>: nuovi sentieri</w:t>
      </w:r>
    </w:p>
    <w:p w14:paraId="17019124" w14:textId="77777777" w:rsidR="006334F9" w:rsidRPr="00FE27C5" w:rsidRDefault="006334F9" w:rsidP="00AF1796">
      <w:pPr>
        <w:jc w:val="both"/>
        <w:rPr>
          <w:color w:val="000000"/>
          <w:lang w:val="it-IT"/>
        </w:rPr>
      </w:pPr>
      <w:r w:rsidRPr="00FE27C5">
        <w:rPr>
          <w:color w:val="000000"/>
          <w:lang w:val="it-IT"/>
        </w:rPr>
        <w:t xml:space="preserve">La valle </w:t>
      </w:r>
      <w:proofErr w:type="spellStart"/>
      <w:r w:rsidRPr="00FE27C5">
        <w:rPr>
          <w:color w:val="000000"/>
          <w:lang w:val="it-IT"/>
        </w:rPr>
        <w:t>Wipptal</w:t>
      </w:r>
      <w:proofErr w:type="spellEnd"/>
      <w:r w:rsidRPr="00FE27C5">
        <w:rPr>
          <w:color w:val="000000"/>
          <w:lang w:val="it-IT"/>
        </w:rPr>
        <w:t xml:space="preserve"> ha creato </w:t>
      </w:r>
      <w:r w:rsidRPr="00FE27C5">
        <w:rPr>
          <w:bCs/>
          <w:color w:val="000000"/>
          <w:lang w:val="it-IT"/>
        </w:rPr>
        <w:t>nuovi sentieri invernali per la stagione invernale 2020/21 di facile percorrenza</w:t>
      </w:r>
      <w:r w:rsidRPr="00FE27C5">
        <w:rPr>
          <w:color w:val="000000"/>
          <w:lang w:val="it-IT"/>
        </w:rPr>
        <w:t xml:space="preserve">: il sentiero di quattro chilometri </w:t>
      </w:r>
      <w:proofErr w:type="spellStart"/>
      <w:r w:rsidRPr="00FE27C5">
        <w:rPr>
          <w:bCs/>
          <w:color w:val="000000"/>
          <w:lang w:val="it-IT"/>
        </w:rPr>
        <w:t>Auenrunde</w:t>
      </w:r>
      <w:proofErr w:type="spellEnd"/>
      <w:r w:rsidRPr="00FE27C5">
        <w:rPr>
          <w:bCs/>
          <w:color w:val="000000"/>
          <w:lang w:val="it-IT"/>
        </w:rPr>
        <w:t xml:space="preserve"> a </w:t>
      </w:r>
      <w:proofErr w:type="spellStart"/>
      <w:r w:rsidRPr="00FE27C5">
        <w:rPr>
          <w:bCs/>
          <w:color w:val="000000"/>
          <w:lang w:val="it-IT"/>
        </w:rPr>
        <w:t>Navis</w:t>
      </w:r>
      <w:proofErr w:type="spellEnd"/>
      <w:r w:rsidRPr="00FE27C5">
        <w:rPr>
          <w:color w:val="000000"/>
          <w:lang w:val="it-IT"/>
        </w:rPr>
        <w:t xml:space="preserve">, due nuovi sentieri </w:t>
      </w:r>
      <w:r w:rsidRPr="00FE27C5">
        <w:rPr>
          <w:bCs/>
          <w:color w:val="000000"/>
          <w:lang w:val="it-IT"/>
        </w:rPr>
        <w:t xml:space="preserve">nel villaggio di </w:t>
      </w:r>
      <w:proofErr w:type="spellStart"/>
      <w:r w:rsidRPr="00FE27C5">
        <w:rPr>
          <w:bCs/>
          <w:color w:val="000000"/>
          <w:lang w:val="it-IT"/>
        </w:rPr>
        <w:t>Trins</w:t>
      </w:r>
      <w:proofErr w:type="spellEnd"/>
      <w:r w:rsidRPr="00FE27C5">
        <w:rPr>
          <w:bCs/>
          <w:color w:val="000000"/>
          <w:lang w:val="it-IT"/>
        </w:rPr>
        <w:t xml:space="preserve"> </w:t>
      </w:r>
      <w:r w:rsidRPr="00FE27C5">
        <w:rPr>
          <w:color w:val="000000"/>
          <w:lang w:val="it-IT"/>
        </w:rPr>
        <w:t xml:space="preserve">e un breve sentiero </w:t>
      </w:r>
      <w:r w:rsidRPr="00FE27C5">
        <w:rPr>
          <w:bCs/>
          <w:color w:val="000000"/>
          <w:lang w:val="it-IT"/>
        </w:rPr>
        <w:t xml:space="preserve">nella frazione di </w:t>
      </w:r>
      <w:proofErr w:type="spellStart"/>
      <w:r w:rsidRPr="00FE27C5">
        <w:rPr>
          <w:bCs/>
          <w:color w:val="000000"/>
          <w:lang w:val="it-IT"/>
        </w:rPr>
        <w:t>Schmirn</w:t>
      </w:r>
      <w:proofErr w:type="spellEnd"/>
      <w:r w:rsidRPr="00FE27C5">
        <w:rPr>
          <w:color w:val="000000"/>
          <w:lang w:val="it-IT"/>
        </w:rPr>
        <w:t xml:space="preserve"> con una splendida vista sul monte </w:t>
      </w:r>
      <w:proofErr w:type="spellStart"/>
      <w:r w:rsidRPr="00FE27C5">
        <w:rPr>
          <w:color w:val="000000"/>
          <w:lang w:val="it-IT"/>
        </w:rPr>
        <w:t>Olperer</w:t>
      </w:r>
      <w:proofErr w:type="spellEnd"/>
      <w:r w:rsidRPr="00FE27C5">
        <w:rPr>
          <w:color w:val="000000"/>
          <w:lang w:val="it-IT"/>
        </w:rPr>
        <w:t>.</w:t>
      </w:r>
    </w:p>
    <w:p w14:paraId="2B9E1453" w14:textId="78E59DC5" w:rsidR="006334F9" w:rsidRPr="009F4460" w:rsidRDefault="00FE27C5" w:rsidP="00AF1796">
      <w:pPr>
        <w:jc w:val="both"/>
        <w:rPr>
          <w:color w:val="000000"/>
        </w:rPr>
      </w:pPr>
      <w:r w:rsidRPr="00FE27C5">
        <w:rPr>
          <w:color w:val="000000"/>
          <w:u w:val="single"/>
          <w:lang w:val="it-IT"/>
        </w:rPr>
        <w:t>Pacchett</w:t>
      </w:r>
      <w:r>
        <w:rPr>
          <w:color w:val="000000"/>
          <w:u w:val="single"/>
          <w:lang w:val="it-IT"/>
        </w:rPr>
        <w:t>o 1</w:t>
      </w:r>
      <w:r w:rsidRPr="00FE27C5">
        <w:rPr>
          <w:color w:val="000000"/>
          <w:u w:val="single"/>
          <w:lang w:val="it-IT"/>
        </w:rPr>
        <w:t>:</w:t>
      </w:r>
      <w:r w:rsidRPr="00FE27C5">
        <w:rPr>
          <w:color w:val="000000"/>
          <w:lang w:val="it-IT"/>
        </w:rPr>
        <w:t xml:space="preserve"> </w:t>
      </w:r>
      <w:r w:rsidR="006334F9" w:rsidRPr="00FE27C5">
        <w:rPr>
          <w:color w:val="000000"/>
          <w:lang w:val="it-IT"/>
        </w:rPr>
        <w:t>Si possono trascorrere</w:t>
      </w:r>
      <w:r w:rsidR="006334F9" w:rsidRPr="00FE27C5">
        <w:rPr>
          <w:bCs/>
          <w:color w:val="000000"/>
          <w:lang w:val="it-IT"/>
        </w:rPr>
        <w:t xml:space="preserve"> belle giornate invernali</w:t>
      </w:r>
      <w:r w:rsidR="006334F9" w:rsidRPr="00FE27C5">
        <w:rPr>
          <w:color w:val="000000"/>
          <w:lang w:val="it-IT"/>
        </w:rPr>
        <w:t xml:space="preserve"> tra le incontaminate valli montane e gli originali villaggi alpini della </w:t>
      </w:r>
      <w:proofErr w:type="spellStart"/>
      <w:r w:rsidR="006334F9" w:rsidRPr="00FE27C5">
        <w:rPr>
          <w:color w:val="000000"/>
          <w:lang w:val="it-IT"/>
        </w:rPr>
        <w:t>Wipptal</w:t>
      </w:r>
      <w:proofErr w:type="spellEnd"/>
      <w:r w:rsidR="006334F9" w:rsidRPr="00FE27C5">
        <w:rPr>
          <w:color w:val="000000"/>
          <w:lang w:val="it-IT"/>
        </w:rPr>
        <w:t xml:space="preserve"> </w:t>
      </w:r>
      <w:r w:rsidR="006334F9" w:rsidRPr="00FE27C5">
        <w:rPr>
          <w:bCs/>
          <w:color w:val="000000"/>
          <w:lang w:val="it-IT"/>
        </w:rPr>
        <w:t>a partire da 264 euro</w:t>
      </w:r>
      <w:r w:rsidR="006334F9" w:rsidRPr="00FE27C5">
        <w:rPr>
          <w:color w:val="000000"/>
          <w:lang w:val="it-IT"/>
        </w:rPr>
        <w:t xml:space="preserve"> a persona prenotando il pacchetto </w:t>
      </w:r>
      <w:hyperlink r:id="rId10" w:history="1">
        <w:r w:rsidR="006334F9" w:rsidRPr="00FE27C5">
          <w:rPr>
            <w:i/>
            <w:color w:val="000000"/>
            <w:lang w:val="it-IT"/>
          </w:rPr>
          <w:t>“Giornate attive sulla neve”</w:t>
        </w:r>
      </w:hyperlink>
      <w:r w:rsidR="006334F9" w:rsidRPr="00FE27C5">
        <w:rPr>
          <w:color w:val="000000"/>
          <w:lang w:val="it-IT"/>
        </w:rPr>
        <w:t>. L’</w:t>
      </w:r>
      <w:r w:rsidR="006334F9" w:rsidRPr="00FE27C5">
        <w:rPr>
          <w:bCs/>
          <w:color w:val="000000"/>
          <w:lang w:val="it-IT"/>
        </w:rPr>
        <w:t>offerta</w:t>
      </w:r>
      <w:r w:rsidR="006334F9" w:rsidRPr="00FE27C5">
        <w:rPr>
          <w:color w:val="000000"/>
          <w:lang w:val="it-IT"/>
        </w:rPr>
        <w:t xml:space="preserve"> comprende </w:t>
      </w:r>
      <w:r w:rsidR="006334F9" w:rsidRPr="00FE27C5">
        <w:rPr>
          <w:bCs/>
          <w:color w:val="000000"/>
          <w:lang w:val="it-IT"/>
        </w:rPr>
        <w:t>6 notti</w:t>
      </w:r>
      <w:r w:rsidR="006334F9" w:rsidRPr="00FE27C5">
        <w:rPr>
          <w:color w:val="000000"/>
          <w:lang w:val="it-IT"/>
        </w:rPr>
        <w:t xml:space="preserve"> in appartamento vacanze o in hotel con mezza pensione, </w:t>
      </w:r>
      <w:r w:rsidR="006334F9" w:rsidRPr="00FE27C5">
        <w:rPr>
          <w:bCs/>
          <w:color w:val="000000"/>
          <w:lang w:val="it-IT"/>
        </w:rPr>
        <w:t>proposte di tour semplici da fare senza guida</w:t>
      </w:r>
      <w:r w:rsidR="006334F9" w:rsidRPr="00FE27C5">
        <w:rPr>
          <w:color w:val="000000"/>
          <w:lang w:val="it-IT"/>
        </w:rPr>
        <w:t xml:space="preserve"> con consigli per fare esercizi di stretching, rafforzamento e rilassamento, un </w:t>
      </w:r>
      <w:r w:rsidR="006334F9" w:rsidRPr="00FE27C5">
        <w:rPr>
          <w:bCs/>
          <w:color w:val="000000"/>
          <w:lang w:val="it-IT"/>
        </w:rPr>
        <w:t>workshop nutrizionale</w:t>
      </w:r>
      <w:r w:rsidR="006334F9" w:rsidRPr="00FE27C5">
        <w:rPr>
          <w:color w:val="000000"/>
          <w:lang w:val="it-IT"/>
        </w:rPr>
        <w:t xml:space="preserve"> con prodotti regionali per imparare a cucinare cibi sani ma gustosi, il noleggio gratuito di ciaspole e un paio di </w:t>
      </w:r>
      <w:r w:rsidR="006334F9" w:rsidRPr="00FE27C5">
        <w:rPr>
          <w:bCs/>
          <w:color w:val="000000"/>
          <w:lang w:val="it-IT"/>
        </w:rPr>
        <w:t>bastoncini telescopici da trekking</w:t>
      </w:r>
      <w:r w:rsidR="006334F9" w:rsidRPr="00FE27C5">
        <w:rPr>
          <w:color w:val="000000"/>
          <w:lang w:val="it-IT"/>
        </w:rPr>
        <w:t xml:space="preserve"> di alta qualità per persona </w:t>
      </w:r>
      <w:r w:rsidR="006334F9" w:rsidRPr="00FE27C5">
        <w:rPr>
          <w:bCs/>
          <w:color w:val="000000"/>
          <w:lang w:val="it-IT"/>
        </w:rPr>
        <w:t>in regalo</w:t>
      </w:r>
      <w:r w:rsidR="006334F9" w:rsidRPr="00FE27C5">
        <w:rPr>
          <w:color w:val="000000"/>
          <w:lang w:val="it-IT"/>
        </w:rPr>
        <w:t xml:space="preserve">. </w:t>
      </w:r>
      <w:hyperlink r:id="rId11" w:history="1">
        <w:r w:rsidR="006334F9" w:rsidRPr="009F4460">
          <w:rPr>
            <w:rStyle w:val="Hyperlink"/>
          </w:rPr>
          <w:t>www.wipptal.at/it/wipptal-da-vivere/inverno/offerte-vacanze-inverno/giornate-attive-sulla-neve</w:t>
        </w:r>
      </w:hyperlink>
    </w:p>
    <w:p w14:paraId="67365865" w14:textId="735233A6" w:rsidR="006334F9" w:rsidRPr="009F4460" w:rsidRDefault="00FE27C5" w:rsidP="00AF1796">
      <w:pPr>
        <w:jc w:val="both"/>
        <w:rPr>
          <w:color w:val="000000"/>
        </w:rPr>
      </w:pPr>
      <w:r w:rsidRPr="00FE27C5">
        <w:rPr>
          <w:color w:val="000000"/>
          <w:u w:val="single"/>
          <w:lang w:val="it-IT"/>
        </w:rPr>
        <w:t>Pacchett</w:t>
      </w:r>
      <w:r>
        <w:rPr>
          <w:color w:val="000000"/>
          <w:u w:val="single"/>
          <w:lang w:val="it-IT"/>
        </w:rPr>
        <w:t>o 2</w:t>
      </w:r>
      <w:r w:rsidRPr="00FE27C5">
        <w:rPr>
          <w:color w:val="000000"/>
          <w:u w:val="single"/>
          <w:lang w:val="it-IT"/>
        </w:rPr>
        <w:t>:</w:t>
      </w:r>
      <w:r w:rsidRPr="00FE27C5">
        <w:rPr>
          <w:color w:val="000000"/>
          <w:lang w:val="it-IT"/>
        </w:rPr>
        <w:t xml:space="preserve"> </w:t>
      </w:r>
      <w:r w:rsidR="006334F9" w:rsidRPr="00FE27C5">
        <w:rPr>
          <w:color w:val="000000"/>
          <w:lang w:val="it-IT"/>
        </w:rPr>
        <w:t>Il pacchetto</w:t>
      </w:r>
      <w:hyperlink r:id="rId12" w:history="1">
        <w:r w:rsidR="006334F9" w:rsidRPr="00FE27C5">
          <w:rPr>
            <w:i/>
            <w:color w:val="000000"/>
            <w:lang w:val="it-IT"/>
          </w:rPr>
          <w:t xml:space="preserve"> “Vacanze con le racchette da neve”</w:t>
        </w:r>
      </w:hyperlink>
      <w:r w:rsidR="006334F9" w:rsidRPr="00FE27C5">
        <w:rPr>
          <w:color w:val="000000"/>
          <w:lang w:val="it-IT"/>
        </w:rPr>
        <w:t xml:space="preserve"> offre </w:t>
      </w:r>
      <w:r w:rsidR="006334F9" w:rsidRPr="00FE27C5">
        <w:rPr>
          <w:bCs/>
          <w:color w:val="000000"/>
          <w:lang w:val="it-IT"/>
        </w:rPr>
        <w:t>4 o 5 pernottamenti</w:t>
      </w:r>
      <w:r w:rsidR="006334F9" w:rsidRPr="00FE27C5">
        <w:rPr>
          <w:color w:val="000000"/>
          <w:lang w:val="it-IT"/>
        </w:rPr>
        <w:t xml:space="preserve"> nella categoria di alloggio desiderata </w:t>
      </w:r>
      <w:r w:rsidR="006334F9" w:rsidRPr="00FE27C5">
        <w:rPr>
          <w:bCs/>
          <w:color w:val="000000"/>
          <w:lang w:val="it-IT"/>
        </w:rPr>
        <w:t xml:space="preserve">a partire da 196 euro a persona </w:t>
      </w:r>
      <w:r w:rsidR="006334F9" w:rsidRPr="00FE27C5">
        <w:rPr>
          <w:color w:val="000000"/>
          <w:lang w:val="it-IT"/>
        </w:rPr>
        <w:t xml:space="preserve">più due escursioni guidate con le racchette da neve con una guida escursionistica e la salita e discesa con la cabinovia presso l'area sciistica </w:t>
      </w:r>
      <w:proofErr w:type="spellStart"/>
      <w:r w:rsidR="006334F9" w:rsidRPr="00FE27C5">
        <w:rPr>
          <w:color w:val="000000"/>
          <w:lang w:val="it-IT"/>
        </w:rPr>
        <w:t>Bergeralm</w:t>
      </w:r>
      <w:proofErr w:type="spellEnd"/>
      <w:r w:rsidR="006334F9" w:rsidRPr="00FE27C5">
        <w:rPr>
          <w:color w:val="000000"/>
          <w:lang w:val="it-IT"/>
        </w:rPr>
        <w:t xml:space="preserve"> a </w:t>
      </w:r>
      <w:proofErr w:type="spellStart"/>
      <w:r w:rsidR="006334F9" w:rsidRPr="00FE27C5">
        <w:rPr>
          <w:color w:val="000000"/>
          <w:lang w:val="it-IT"/>
        </w:rPr>
        <w:t>Steinach</w:t>
      </w:r>
      <w:proofErr w:type="spellEnd"/>
      <w:r w:rsidR="006334F9" w:rsidRPr="00FE27C5">
        <w:rPr>
          <w:color w:val="000000"/>
          <w:lang w:val="it-IT"/>
        </w:rPr>
        <w:t xml:space="preserve"> per un tour autoguidato sulla cresta dal </w:t>
      </w:r>
      <w:proofErr w:type="spellStart"/>
      <w:r w:rsidR="006334F9" w:rsidRPr="00FE27C5">
        <w:rPr>
          <w:color w:val="000000"/>
          <w:lang w:val="it-IT"/>
        </w:rPr>
        <w:t>Nösslachjoch</w:t>
      </w:r>
      <w:proofErr w:type="spellEnd"/>
      <w:r w:rsidR="006334F9" w:rsidRPr="00FE27C5">
        <w:rPr>
          <w:color w:val="000000"/>
          <w:lang w:val="it-IT"/>
        </w:rPr>
        <w:t xml:space="preserve"> all'</w:t>
      </w:r>
      <w:proofErr w:type="spellStart"/>
      <w:r w:rsidR="006334F9" w:rsidRPr="00FE27C5">
        <w:rPr>
          <w:color w:val="000000"/>
          <w:lang w:val="it-IT"/>
        </w:rPr>
        <w:t>Eggerberg</w:t>
      </w:r>
      <w:proofErr w:type="spellEnd"/>
      <w:r w:rsidR="006334F9" w:rsidRPr="00FE27C5">
        <w:rPr>
          <w:color w:val="000000"/>
          <w:lang w:val="it-IT"/>
        </w:rPr>
        <w:t xml:space="preserve"> (o altro tour a scelta). </w:t>
      </w:r>
      <w:hyperlink r:id="rId13" w:history="1">
        <w:r w:rsidR="006334F9" w:rsidRPr="009F4460">
          <w:rPr>
            <w:rStyle w:val="Hyperlink"/>
          </w:rPr>
          <w:t>www.wipptal.at/it/wipptal-da-vivere/inverno/offerte-vacanze-inverno/vacanze-con-le-rachette-da-neve</w:t>
        </w:r>
      </w:hyperlink>
    </w:p>
    <w:p w14:paraId="56CED446" w14:textId="77777777" w:rsidR="00E82F6F" w:rsidRPr="009F4460" w:rsidRDefault="00E82F6F" w:rsidP="00E82F6F">
      <w:pPr>
        <w:spacing w:after="0"/>
        <w:jc w:val="both"/>
        <w:rPr>
          <w:color w:val="000000"/>
        </w:rPr>
      </w:pPr>
    </w:p>
    <w:p w14:paraId="5B6B3897" w14:textId="33945FCA" w:rsidR="006334F9" w:rsidRPr="006334F9" w:rsidRDefault="006334F9" w:rsidP="00E82F6F">
      <w:pPr>
        <w:jc w:val="both"/>
        <w:rPr>
          <w:b/>
          <w:color w:val="000000"/>
          <w:lang w:val="it-IT"/>
        </w:rPr>
      </w:pPr>
      <w:r w:rsidRPr="006334F9">
        <w:rPr>
          <w:b/>
          <w:bCs/>
          <w:color w:val="000000"/>
          <w:lang w:val="it-IT"/>
        </w:rPr>
        <w:t xml:space="preserve">“Prima prenoti più risparmi” con il </w:t>
      </w:r>
      <w:proofErr w:type="spellStart"/>
      <w:r w:rsidRPr="006334F9">
        <w:rPr>
          <w:b/>
          <w:bCs/>
          <w:color w:val="000000"/>
          <w:lang w:val="it-IT"/>
        </w:rPr>
        <w:t>Superskipass</w:t>
      </w:r>
      <w:proofErr w:type="spellEnd"/>
      <w:r w:rsidRPr="006334F9">
        <w:rPr>
          <w:b/>
          <w:bCs/>
          <w:color w:val="000000"/>
          <w:lang w:val="it-IT"/>
        </w:rPr>
        <w:t xml:space="preserve"> della Ötztal</w:t>
      </w:r>
      <w:r w:rsidRPr="006334F9">
        <w:rPr>
          <w:b/>
          <w:color w:val="000000"/>
          <w:lang w:val="it-IT"/>
        </w:rPr>
        <w:t xml:space="preserve"> </w:t>
      </w:r>
    </w:p>
    <w:p w14:paraId="30653264" w14:textId="741608AE" w:rsidR="006334F9" w:rsidRPr="00FE27C5" w:rsidRDefault="006334F9" w:rsidP="00AF1796">
      <w:pPr>
        <w:jc w:val="both"/>
        <w:rPr>
          <w:color w:val="000000"/>
          <w:lang w:val="it-IT"/>
        </w:rPr>
      </w:pPr>
      <w:r w:rsidRPr="00FE27C5">
        <w:rPr>
          <w:color w:val="000000"/>
          <w:lang w:val="it-IT"/>
        </w:rPr>
        <w:t xml:space="preserve">Gli sciatori e gli snowboarder che prenotano lo </w:t>
      </w:r>
      <w:proofErr w:type="spellStart"/>
      <w:r w:rsidRPr="00FE27C5">
        <w:rPr>
          <w:color w:val="000000"/>
          <w:lang w:val="it-IT"/>
        </w:rPr>
        <w:t>Superskipass</w:t>
      </w:r>
      <w:proofErr w:type="spellEnd"/>
      <w:r w:rsidRPr="00FE27C5">
        <w:rPr>
          <w:color w:val="000000"/>
          <w:lang w:val="it-IT"/>
        </w:rPr>
        <w:t xml:space="preserve"> Ötztal in anticipo possono sciare in sei località della valle Ötztal risparmiando</w:t>
      </w:r>
      <w:r w:rsidRPr="00FE27C5">
        <w:rPr>
          <w:bCs/>
          <w:color w:val="000000"/>
          <w:lang w:val="it-IT"/>
        </w:rPr>
        <w:t xml:space="preserve"> fino al 20</w:t>
      </w:r>
      <w:r w:rsidR="00E82F6F" w:rsidRPr="00FE27C5">
        <w:rPr>
          <w:bCs/>
          <w:color w:val="000000"/>
          <w:lang w:val="it-IT"/>
        </w:rPr>
        <w:t xml:space="preserve"> </w:t>
      </w:r>
      <w:r w:rsidRPr="00FE27C5">
        <w:rPr>
          <w:bCs/>
          <w:color w:val="000000"/>
          <w:lang w:val="it-IT"/>
        </w:rPr>
        <w:t>%</w:t>
      </w:r>
      <w:r w:rsidRPr="00FE27C5">
        <w:rPr>
          <w:color w:val="000000"/>
          <w:lang w:val="it-IT"/>
        </w:rPr>
        <w:t xml:space="preserve"> sul prezzo dello skipass </w:t>
      </w:r>
      <w:r w:rsidRPr="00FE27C5">
        <w:rPr>
          <w:bCs/>
          <w:color w:val="000000"/>
          <w:lang w:val="it-IT"/>
        </w:rPr>
        <w:t>da minimo tre giorni</w:t>
      </w:r>
      <w:r w:rsidRPr="00FE27C5">
        <w:rPr>
          <w:color w:val="000000"/>
          <w:lang w:val="it-IT"/>
        </w:rPr>
        <w:t xml:space="preserve">. Per gli skipass settimanali da 6 o più giorni è incluso anche l'ingresso allo 007 </w:t>
      </w:r>
      <w:proofErr w:type="spellStart"/>
      <w:r w:rsidRPr="00FE27C5">
        <w:rPr>
          <w:color w:val="000000"/>
          <w:lang w:val="it-IT"/>
        </w:rPr>
        <w:t>Elements</w:t>
      </w:r>
      <w:proofErr w:type="spellEnd"/>
      <w:r w:rsidRPr="00FE27C5">
        <w:rPr>
          <w:color w:val="000000"/>
          <w:lang w:val="it-IT"/>
        </w:rPr>
        <w:t xml:space="preserve"> e al Top Mountain </w:t>
      </w:r>
      <w:proofErr w:type="spellStart"/>
      <w:r w:rsidRPr="00FE27C5">
        <w:rPr>
          <w:color w:val="000000"/>
          <w:lang w:val="it-IT"/>
        </w:rPr>
        <w:t>Motorcycle</w:t>
      </w:r>
      <w:proofErr w:type="spellEnd"/>
      <w:r w:rsidRPr="00FE27C5">
        <w:rPr>
          <w:color w:val="000000"/>
          <w:lang w:val="it-IT"/>
        </w:rPr>
        <w:t xml:space="preserve"> Museum. </w:t>
      </w:r>
      <w:r w:rsidR="00E82F6F" w:rsidRPr="00FE27C5">
        <w:rPr>
          <w:color w:val="000000"/>
          <w:lang w:val="it-IT"/>
        </w:rPr>
        <w:t>Inoltre,</w:t>
      </w:r>
      <w:r w:rsidRPr="00FE27C5">
        <w:rPr>
          <w:color w:val="000000"/>
          <w:lang w:val="it-IT"/>
        </w:rPr>
        <w:t xml:space="preserve"> </w:t>
      </w:r>
      <w:r w:rsidRPr="00FE27C5">
        <w:rPr>
          <w:bCs/>
          <w:color w:val="000000"/>
          <w:lang w:val="it-IT"/>
        </w:rPr>
        <w:t>è consentito annullare la prenotazione</w:t>
      </w:r>
      <w:r w:rsidRPr="00FE27C5">
        <w:rPr>
          <w:color w:val="000000"/>
          <w:lang w:val="it-IT"/>
        </w:rPr>
        <w:t xml:space="preserve"> dello skipass fino a 5 giorni prima del periodo selezionato acquistando un'assicurazione. Il </w:t>
      </w:r>
      <w:proofErr w:type="spellStart"/>
      <w:r w:rsidRPr="00FE27C5">
        <w:rPr>
          <w:color w:val="000000"/>
          <w:lang w:val="it-IT"/>
        </w:rPr>
        <w:t>Superskipass</w:t>
      </w:r>
      <w:proofErr w:type="spellEnd"/>
      <w:r w:rsidRPr="00FE27C5">
        <w:rPr>
          <w:color w:val="000000"/>
          <w:lang w:val="it-IT"/>
        </w:rPr>
        <w:t xml:space="preserve"> si può richiedere per tutta la stagione dal 19</w:t>
      </w:r>
      <w:r w:rsidR="00E82F6F" w:rsidRPr="00FE27C5">
        <w:rPr>
          <w:color w:val="000000"/>
          <w:lang w:val="it-IT"/>
        </w:rPr>
        <w:t xml:space="preserve"> novembre </w:t>
      </w:r>
      <w:r w:rsidRPr="00FE27C5">
        <w:rPr>
          <w:color w:val="000000"/>
          <w:lang w:val="it-IT"/>
        </w:rPr>
        <w:t>2020 al 25</w:t>
      </w:r>
      <w:r w:rsidR="00E82F6F" w:rsidRPr="00FE27C5">
        <w:rPr>
          <w:color w:val="000000"/>
          <w:lang w:val="it-IT"/>
        </w:rPr>
        <w:t xml:space="preserve"> aprile </w:t>
      </w:r>
      <w:r w:rsidRPr="00FE27C5">
        <w:rPr>
          <w:color w:val="000000"/>
          <w:lang w:val="it-IT"/>
        </w:rPr>
        <w:t>2021.</w:t>
      </w:r>
    </w:p>
    <w:p w14:paraId="72E53AE5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59A19A50" w14:textId="77777777" w:rsidR="00E82F6F" w:rsidRDefault="00E82F6F" w:rsidP="00AF1796">
      <w:pPr>
        <w:jc w:val="both"/>
        <w:rPr>
          <w:b/>
          <w:bCs/>
          <w:color w:val="000000"/>
          <w:lang w:val="it-IT"/>
        </w:rPr>
      </w:pPr>
      <w:r w:rsidRPr="00E82F6F">
        <w:rPr>
          <w:b/>
          <w:bCs/>
          <w:color w:val="000000"/>
          <w:lang w:val="it-IT"/>
        </w:rPr>
        <w:t xml:space="preserve">Pista per lo skating nella valle </w:t>
      </w:r>
      <w:proofErr w:type="spellStart"/>
      <w:r w:rsidRPr="00E82F6F">
        <w:rPr>
          <w:b/>
          <w:bCs/>
          <w:color w:val="000000"/>
          <w:lang w:val="it-IT"/>
        </w:rPr>
        <w:t>Gschnitztal</w:t>
      </w:r>
      <w:proofErr w:type="spellEnd"/>
    </w:p>
    <w:p w14:paraId="4E8CF92C" w14:textId="77777777" w:rsidR="00E82F6F" w:rsidRDefault="00E82F6F" w:rsidP="00AF1796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Da questo inverno, gli appassionati della moderna e dinamica tecnica skating potranno sciare su tutto il sentiero di sci di fondo lungo 29 chilometri nella valle </w:t>
      </w:r>
      <w:proofErr w:type="spellStart"/>
      <w:r w:rsidRPr="00E82F6F">
        <w:rPr>
          <w:color w:val="000000"/>
          <w:lang w:val="it-IT"/>
        </w:rPr>
        <w:t>Gschnitztal</w:t>
      </w:r>
      <w:proofErr w:type="spellEnd"/>
      <w:r w:rsidRPr="00E82F6F">
        <w:rPr>
          <w:color w:val="000000"/>
          <w:lang w:val="it-IT"/>
        </w:rPr>
        <w:t>, vicino al Brennero. Fino ad ora solo una parte del sentiero è stata aperta a questa tecnica.</w:t>
      </w:r>
    </w:p>
    <w:p w14:paraId="5F1164AA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4C9FD7DD" w14:textId="2B29252F" w:rsidR="00E82F6F" w:rsidRDefault="00E82F6F" w:rsidP="00AF1796">
      <w:pPr>
        <w:jc w:val="both"/>
        <w:rPr>
          <w:b/>
          <w:bCs/>
          <w:color w:val="000000"/>
          <w:lang w:val="it-IT"/>
        </w:rPr>
      </w:pPr>
      <w:r w:rsidRPr="00E82F6F">
        <w:rPr>
          <w:b/>
          <w:bCs/>
          <w:color w:val="000000"/>
          <w:lang w:val="it-IT"/>
        </w:rPr>
        <w:t xml:space="preserve">Novità slittino per famiglie a </w:t>
      </w:r>
      <w:proofErr w:type="spellStart"/>
      <w:r w:rsidRPr="00E82F6F">
        <w:rPr>
          <w:b/>
          <w:bCs/>
          <w:color w:val="000000"/>
          <w:lang w:val="it-IT"/>
        </w:rPr>
        <w:t>Serfaus-Fiss-Ladis</w:t>
      </w:r>
      <w:proofErr w:type="spellEnd"/>
    </w:p>
    <w:p w14:paraId="5CFA180C" w14:textId="6AF7697F" w:rsidR="00E82F6F" w:rsidRDefault="00E82F6F" w:rsidP="00AF1796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Sono già iniziati i lavori per una nuova corsa in slittino a </w:t>
      </w:r>
      <w:proofErr w:type="spellStart"/>
      <w:r w:rsidRPr="00E82F6F">
        <w:rPr>
          <w:color w:val="000000"/>
          <w:lang w:val="it-IT"/>
        </w:rPr>
        <w:t>Serfaus-Fiss-Ladis</w:t>
      </w:r>
      <w:proofErr w:type="spellEnd"/>
      <w:r w:rsidRPr="00E82F6F">
        <w:rPr>
          <w:color w:val="000000"/>
          <w:lang w:val="it-IT"/>
        </w:rPr>
        <w:t xml:space="preserve">, che sarà completata in due fasi. Nell'inverno 2020/21 apre il tratto inferiore da </w:t>
      </w:r>
      <w:proofErr w:type="spellStart"/>
      <w:r w:rsidRPr="00E82F6F">
        <w:rPr>
          <w:color w:val="000000"/>
          <w:lang w:val="it-IT"/>
        </w:rPr>
        <w:t>Kuh</w:t>
      </w:r>
      <w:proofErr w:type="spellEnd"/>
      <w:r w:rsidRPr="00E82F6F">
        <w:rPr>
          <w:color w:val="000000"/>
          <w:lang w:val="it-IT"/>
        </w:rPr>
        <w:t xml:space="preserve"> </w:t>
      </w:r>
      <w:proofErr w:type="spellStart"/>
      <w:r w:rsidRPr="00E82F6F">
        <w:rPr>
          <w:color w:val="000000"/>
          <w:lang w:val="it-IT"/>
        </w:rPr>
        <w:t>Alm</w:t>
      </w:r>
      <w:proofErr w:type="spellEnd"/>
      <w:r w:rsidRPr="00E82F6F">
        <w:rPr>
          <w:color w:val="000000"/>
          <w:lang w:val="it-IT"/>
        </w:rPr>
        <w:t xml:space="preserve"> a </w:t>
      </w:r>
      <w:proofErr w:type="spellStart"/>
      <w:r w:rsidRPr="00E82F6F">
        <w:rPr>
          <w:color w:val="000000"/>
          <w:lang w:val="it-IT"/>
        </w:rPr>
        <w:t>Sonnenburg</w:t>
      </w:r>
      <w:proofErr w:type="spellEnd"/>
      <w:r w:rsidRPr="00E82F6F">
        <w:rPr>
          <w:color w:val="000000"/>
          <w:lang w:val="it-IT"/>
        </w:rPr>
        <w:t xml:space="preserve"> fino a </w:t>
      </w:r>
      <w:proofErr w:type="spellStart"/>
      <w:r w:rsidRPr="00E82F6F">
        <w:rPr>
          <w:color w:val="000000"/>
          <w:lang w:val="it-IT"/>
        </w:rPr>
        <w:t>Fiss</w:t>
      </w:r>
      <w:proofErr w:type="spellEnd"/>
      <w:r w:rsidRPr="00E82F6F">
        <w:rPr>
          <w:color w:val="000000"/>
          <w:lang w:val="it-IT"/>
        </w:rPr>
        <w:t>. La pista è larga tre metri, innevata e illuminata artificialmente. Il delicato gradiente termico lo rende ideale per le famiglie con bambini.</w:t>
      </w:r>
    </w:p>
    <w:p w14:paraId="394FC92A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4B6E3135" w14:textId="77777777" w:rsidR="00FE27C5" w:rsidRDefault="00FE27C5">
      <w:pPr>
        <w:rPr>
          <w:rFonts w:asciiTheme="majorHAnsi" w:hAnsiTheme="majorHAnsi"/>
          <w:color w:val="000000"/>
          <w:sz w:val="28"/>
          <w:lang w:val="it-IT"/>
        </w:rPr>
      </w:pPr>
      <w:r>
        <w:rPr>
          <w:rFonts w:asciiTheme="majorHAnsi" w:hAnsiTheme="majorHAnsi"/>
          <w:color w:val="000000"/>
          <w:sz w:val="28"/>
          <w:lang w:val="it-IT"/>
        </w:rPr>
        <w:br w:type="page"/>
      </w:r>
    </w:p>
    <w:p w14:paraId="1975BCC4" w14:textId="5E2BA538" w:rsidR="00E82F6F" w:rsidRPr="006334F9" w:rsidRDefault="00E82F6F" w:rsidP="00E82F6F">
      <w:pPr>
        <w:jc w:val="both"/>
        <w:rPr>
          <w:rFonts w:asciiTheme="majorHAnsi" w:hAnsiTheme="majorHAnsi"/>
          <w:color w:val="000000"/>
          <w:sz w:val="28"/>
          <w:lang w:val="it-IT"/>
        </w:rPr>
      </w:pPr>
      <w:r>
        <w:rPr>
          <w:rFonts w:asciiTheme="majorHAnsi" w:hAnsiTheme="majorHAnsi"/>
          <w:color w:val="000000"/>
          <w:sz w:val="28"/>
          <w:lang w:val="it-IT"/>
        </w:rPr>
        <w:lastRenderedPageBreak/>
        <w:t>Impianti</w:t>
      </w:r>
    </w:p>
    <w:p w14:paraId="67FD9419" w14:textId="77777777" w:rsidR="00E82F6F" w:rsidRPr="00E82F6F" w:rsidRDefault="00E82F6F" w:rsidP="00E82F6F">
      <w:pPr>
        <w:jc w:val="both"/>
        <w:rPr>
          <w:b/>
          <w:bCs/>
          <w:color w:val="000000"/>
          <w:lang w:val="it-IT"/>
        </w:rPr>
      </w:pPr>
      <w:r w:rsidRPr="00E82F6F">
        <w:rPr>
          <w:b/>
          <w:bCs/>
          <w:color w:val="000000"/>
          <w:lang w:val="it-IT"/>
        </w:rPr>
        <w:t xml:space="preserve">Nuova seggiovia otto persone sul lato nord di </w:t>
      </w:r>
      <w:proofErr w:type="spellStart"/>
      <w:r w:rsidRPr="00E82F6F">
        <w:rPr>
          <w:b/>
          <w:bCs/>
          <w:color w:val="000000"/>
          <w:lang w:val="it-IT"/>
        </w:rPr>
        <w:t>Fiss</w:t>
      </w:r>
      <w:proofErr w:type="spellEnd"/>
    </w:p>
    <w:p w14:paraId="3C4E6C0D" w14:textId="77777777" w:rsidR="00E82F6F" w:rsidRPr="00E82F6F" w:rsidRDefault="00E82F6F" w:rsidP="00E82F6F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Situata sulle pendici nord di </w:t>
      </w:r>
      <w:proofErr w:type="spellStart"/>
      <w:r w:rsidRPr="00E82F6F">
        <w:rPr>
          <w:color w:val="000000"/>
          <w:lang w:val="it-IT"/>
        </w:rPr>
        <w:t>Serfaus-Fiss-Ladis</w:t>
      </w:r>
      <w:proofErr w:type="spellEnd"/>
      <w:r w:rsidRPr="00E82F6F">
        <w:rPr>
          <w:color w:val="000000"/>
          <w:lang w:val="it-IT"/>
        </w:rPr>
        <w:t xml:space="preserve">, questa nuova moderna seggiovia ad otto posti ha sedili riscaldati, un meccanismo di sicurezza per mantenere i bambini al sicuro e protezioni di plastica per proteggere i passeggeri dal maltempo. Si tratta dell’ultimo impianto della stazione sciistica del lato nord di </w:t>
      </w:r>
      <w:proofErr w:type="spellStart"/>
      <w:r w:rsidRPr="00E82F6F">
        <w:rPr>
          <w:color w:val="000000"/>
          <w:lang w:val="it-IT"/>
        </w:rPr>
        <w:t>Fiss</w:t>
      </w:r>
      <w:proofErr w:type="spellEnd"/>
      <w:r w:rsidRPr="00E82F6F">
        <w:rPr>
          <w:color w:val="000000"/>
          <w:lang w:val="it-IT"/>
        </w:rPr>
        <w:t xml:space="preserve"> che va a completare la rete di collegamenti al suo interno. Che per sciatori e snowboarder significa prima di tutto: meno tempo da passare in coda e più tempo ad esplorare.</w:t>
      </w:r>
    </w:p>
    <w:p w14:paraId="44E53051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38B38C9E" w14:textId="2793FA2D" w:rsidR="00E82F6F" w:rsidRPr="00E82F6F" w:rsidRDefault="00E82F6F" w:rsidP="00E82F6F">
      <w:pPr>
        <w:jc w:val="both"/>
        <w:rPr>
          <w:b/>
          <w:bCs/>
          <w:color w:val="000000"/>
          <w:lang w:val="it-IT"/>
        </w:rPr>
      </w:pPr>
      <w:r w:rsidRPr="00E82F6F">
        <w:rPr>
          <w:b/>
          <w:bCs/>
          <w:color w:val="000000"/>
          <w:lang w:val="it-IT"/>
        </w:rPr>
        <w:t xml:space="preserve">Nuova </w:t>
      </w:r>
      <w:proofErr w:type="spellStart"/>
      <w:r w:rsidRPr="00E82F6F">
        <w:rPr>
          <w:b/>
          <w:bCs/>
          <w:color w:val="000000"/>
          <w:lang w:val="it-IT"/>
        </w:rPr>
        <w:t>Salvistabahn</w:t>
      </w:r>
      <w:proofErr w:type="spellEnd"/>
      <w:r w:rsidRPr="00E82F6F">
        <w:rPr>
          <w:b/>
          <w:bCs/>
          <w:color w:val="000000"/>
          <w:lang w:val="it-IT"/>
        </w:rPr>
        <w:t xml:space="preserve">: gondola con vista panoramica sul monte </w:t>
      </w:r>
      <w:proofErr w:type="spellStart"/>
      <w:r w:rsidRPr="00E82F6F">
        <w:rPr>
          <w:b/>
          <w:bCs/>
          <w:color w:val="000000"/>
          <w:lang w:val="it-IT"/>
        </w:rPr>
        <w:t>Kleine</w:t>
      </w:r>
      <w:proofErr w:type="spellEnd"/>
      <w:r w:rsidRPr="00E82F6F">
        <w:rPr>
          <w:b/>
          <w:bCs/>
          <w:color w:val="000000"/>
          <w:lang w:val="it-IT"/>
        </w:rPr>
        <w:t xml:space="preserve"> Salve</w:t>
      </w:r>
    </w:p>
    <w:p w14:paraId="262790B6" w14:textId="77777777" w:rsidR="00E82F6F" w:rsidRPr="00E82F6F" w:rsidRDefault="00E82F6F" w:rsidP="00E82F6F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Grandi novità nella regione di </w:t>
      </w:r>
      <w:proofErr w:type="spellStart"/>
      <w:r w:rsidRPr="00E82F6F">
        <w:rPr>
          <w:bCs/>
          <w:color w:val="000000"/>
          <w:lang w:val="it-IT"/>
        </w:rPr>
        <w:t>Hohe</w:t>
      </w:r>
      <w:proofErr w:type="spellEnd"/>
      <w:r w:rsidRPr="00E82F6F">
        <w:rPr>
          <w:bCs/>
          <w:color w:val="000000"/>
          <w:lang w:val="it-IT"/>
        </w:rPr>
        <w:t xml:space="preserve"> Salve nelle Alpi di Kitzbühel</w:t>
      </w:r>
      <w:r w:rsidRPr="00E82F6F">
        <w:rPr>
          <w:color w:val="000000"/>
          <w:lang w:val="it-IT"/>
        </w:rPr>
        <w:t xml:space="preserve">: la </w:t>
      </w:r>
      <w:proofErr w:type="spellStart"/>
      <w:r w:rsidRPr="00E82F6F">
        <w:rPr>
          <w:color w:val="000000"/>
          <w:lang w:val="it-IT"/>
        </w:rPr>
        <w:t>Salvistabahn</w:t>
      </w:r>
      <w:proofErr w:type="spellEnd"/>
      <w:r w:rsidRPr="00E82F6F">
        <w:rPr>
          <w:color w:val="000000"/>
          <w:lang w:val="it-IT"/>
        </w:rPr>
        <w:t xml:space="preserve">, una funivia costruita nel 1986, sarà sostituita da una </w:t>
      </w:r>
      <w:r w:rsidRPr="00E82F6F">
        <w:rPr>
          <w:bCs/>
          <w:color w:val="000000"/>
          <w:lang w:val="it-IT"/>
        </w:rPr>
        <w:t>nuova gondola per 10 persone con capacità di trasporto di circa 2.100 passeggeri all'ora</w:t>
      </w:r>
      <w:r w:rsidRPr="00E82F6F">
        <w:rPr>
          <w:color w:val="000000"/>
          <w:lang w:val="it-IT"/>
        </w:rPr>
        <w:t xml:space="preserve">. Il nuovo impianto regala una bella vista della regione fino a </w:t>
      </w:r>
      <w:proofErr w:type="spellStart"/>
      <w:r w:rsidRPr="00E82F6F">
        <w:rPr>
          <w:color w:val="000000"/>
          <w:lang w:val="it-IT"/>
        </w:rPr>
        <w:t>Kleine</w:t>
      </w:r>
      <w:proofErr w:type="spellEnd"/>
      <w:r w:rsidRPr="00E82F6F">
        <w:rPr>
          <w:color w:val="000000"/>
          <w:lang w:val="it-IT"/>
        </w:rPr>
        <w:t xml:space="preserve"> Salve, dando così a sciatori e snowboarder accesso a diverse altre piste. Modernizzato anche il negozio sportivo, il centro di noleggio attrezzature e il deposito sci della stazione inferiore.</w:t>
      </w:r>
    </w:p>
    <w:p w14:paraId="61218FBC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3B25DE2C" w14:textId="068869A6" w:rsidR="00E82F6F" w:rsidRPr="00E82F6F" w:rsidRDefault="00E82F6F" w:rsidP="00E82F6F">
      <w:pPr>
        <w:jc w:val="both"/>
        <w:rPr>
          <w:b/>
          <w:bCs/>
          <w:color w:val="000000"/>
          <w:lang w:val="it-IT"/>
        </w:rPr>
      </w:pPr>
      <w:r w:rsidRPr="00E82F6F">
        <w:rPr>
          <w:b/>
          <w:bCs/>
          <w:color w:val="000000"/>
          <w:lang w:val="it-IT"/>
        </w:rPr>
        <w:t xml:space="preserve">Rinnovata seggiovia </w:t>
      </w:r>
      <w:proofErr w:type="spellStart"/>
      <w:r w:rsidRPr="00E82F6F">
        <w:rPr>
          <w:b/>
          <w:bCs/>
          <w:color w:val="000000"/>
          <w:lang w:val="it-IT"/>
        </w:rPr>
        <w:t>Kappellenbahn</w:t>
      </w:r>
      <w:proofErr w:type="spellEnd"/>
      <w:r w:rsidRPr="00E82F6F">
        <w:rPr>
          <w:b/>
          <w:bCs/>
          <w:color w:val="000000"/>
          <w:lang w:val="it-IT"/>
        </w:rPr>
        <w:t xml:space="preserve"> nella valle </w:t>
      </w:r>
      <w:proofErr w:type="spellStart"/>
      <w:r w:rsidRPr="00E82F6F">
        <w:rPr>
          <w:b/>
          <w:bCs/>
          <w:color w:val="000000"/>
          <w:lang w:val="it-IT"/>
        </w:rPr>
        <w:t>Pillerseetal</w:t>
      </w:r>
      <w:proofErr w:type="spellEnd"/>
    </w:p>
    <w:p w14:paraId="12F08C3F" w14:textId="4AD15E54" w:rsidR="00E82F6F" w:rsidRDefault="00E82F6F" w:rsidP="00E82F6F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Ancora più comfort e sicurezza sugli impianti di risalita della stazione sciistica </w:t>
      </w:r>
      <w:proofErr w:type="spellStart"/>
      <w:r w:rsidRPr="00E82F6F">
        <w:rPr>
          <w:color w:val="000000"/>
          <w:lang w:val="it-IT"/>
        </w:rPr>
        <w:t>Steinplatte</w:t>
      </w:r>
      <w:proofErr w:type="spellEnd"/>
      <w:r w:rsidRPr="00E82F6F">
        <w:rPr>
          <w:color w:val="000000"/>
          <w:lang w:val="it-IT"/>
        </w:rPr>
        <w:t>/</w:t>
      </w:r>
      <w:proofErr w:type="spellStart"/>
      <w:r w:rsidRPr="00E82F6F">
        <w:rPr>
          <w:color w:val="000000"/>
          <w:lang w:val="it-IT"/>
        </w:rPr>
        <w:t>Waidring</w:t>
      </w:r>
      <w:proofErr w:type="spellEnd"/>
      <w:r w:rsidRPr="00E82F6F">
        <w:rPr>
          <w:color w:val="000000"/>
          <w:lang w:val="it-IT"/>
        </w:rPr>
        <w:t xml:space="preserve"> nella valle </w:t>
      </w:r>
      <w:proofErr w:type="spellStart"/>
      <w:r w:rsidRPr="00E82F6F">
        <w:rPr>
          <w:color w:val="000000"/>
          <w:lang w:val="it-IT"/>
        </w:rPr>
        <w:t>Pillerseetal</w:t>
      </w:r>
      <w:proofErr w:type="spellEnd"/>
      <w:r w:rsidRPr="00E82F6F">
        <w:rPr>
          <w:color w:val="000000"/>
          <w:lang w:val="it-IT"/>
        </w:rPr>
        <w:t xml:space="preserve">. La famosa seggiovia </w:t>
      </w:r>
      <w:proofErr w:type="spellStart"/>
      <w:r w:rsidRPr="00E82F6F">
        <w:rPr>
          <w:color w:val="000000"/>
          <w:lang w:val="it-IT"/>
        </w:rPr>
        <w:t>Kapellenbahn</w:t>
      </w:r>
      <w:proofErr w:type="spellEnd"/>
      <w:r w:rsidRPr="00E82F6F">
        <w:rPr>
          <w:color w:val="000000"/>
          <w:lang w:val="it-IT"/>
        </w:rPr>
        <w:t xml:space="preserve"> da sei persone ora ne può trasportare otto, riducendo i tempi di coda e aumentando la capacità di trasporto a 3.200 passeggeri all'ora. La nuova seggiovia sarà dotata di barre di sicurezza automatiche, sedili riscaldati e protezioni di plastica per proteggere sciatori e snowboarder dalle intemperie.</w:t>
      </w:r>
    </w:p>
    <w:p w14:paraId="5F93FB62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2F011B8B" w14:textId="77777777" w:rsidR="00E82F6F" w:rsidRPr="00E82F6F" w:rsidRDefault="00E82F6F" w:rsidP="00E82F6F">
      <w:pPr>
        <w:jc w:val="both"/>
        <w:rPr>
          <w:b/>
          <w:bCs/>
          <w:color w:val="000000"/>
          <w:lang w:val="it-IT"/>
        </w:rPr>
      </w:pPr>
      <w:proofErr w:type="spellStart"/>
      <w:r w:rsidRPr="00E82F6F">
        <w:rPr>
          <w:b/>
          <w:color w:val="000000"/>
          <w:lang w:val="it-IT"/>
        </w:rPr>
        <w:t>Tulfein</w:t>
      </w:r>
      <w:proofErr w:type="spellEnd"/>
      <w:r w:rsidRPr="00E82F6F">
        <w:rPr>
          <w:b/>
          <w:color w:val="000000"/>
          <w:lang w:val="it-IT"/>
        </w:rPr>
        <w:t xml:space="preserve"> Express al via nel dicembre 2020</w:t>
      </w:r>
    </w:p>
    <w:p w14:paraId="6EAA362C" w14:textId="77777777" w:rsidR="00E82F6F" w:rsidRPr="00E82F6F" w:rsidRDefault="00E82F6F" w:rsidP="00E82F6F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La stazione sciistica </w:t>
      </w:r>
      <w:proofErr w:type="spellStart"/>
      <w:r w:rsidRPr="00E82F6F">
        <w:rPr>
          <w:color w:val="000000"/>
          <w:lang w:val="it-IT"/>
        </w:rPr>
        <w:t>Glungezer</w:t>
      </w:r>
      <w:proofErr w:type="spellEnd"/>
      <w:r w:rsidRPr="00E82F6F">
        <w:rPr>
          <w:color w:val="000000"/>
          <w:lang w:val="it-IT"/>
        </w:rPr>
        <w:t xml:space="preserve"> vicino a Innsbruck ha ampliato la sua rete di impianti di risalita con la costruzione del nuovo </w:t>
      </w:r>
      <w:proofErr w:type="spellStart"/>
      <w:r w:rsidRPr="00E82F6F">
        <w:rPr>
          <w:color w:val="000000"/>
          <w:lang w:val="it-IT"/>
        </w:rPr>
        <w:t>Tulfein</w:t>
      </w:r>
      <w:proofErr w:type="spellEnd"/>
      <w:r w:rsidRPr="00E82F6F">
        <w:rPr>
          <w:color w:val="000000"/>
          <w:lang w:val="it-IT"/>
        </w:rPr>
        <w:t xml:space="preserve"> Express, con </w:t>
      </w:r>
      <w:r w:rsidRPr="00E82F6F">
        <w:rPr>
          <w:bCs/>
          <w:color w:val="000000"/>
          <w:lang w:val="it-IT"/>
        </w:rPr>
        <w:t xml:space="preserve">gondole per sei o dieci passeggeri che collegano </w:t>
      </w:r>
      <w:proofErr w:type="spellStart"/>
      <w:r w:rsidRPr="00E82F6F">
        <w:rPr>
          <w:bCs/>
          <w:color w:val="000000"/>
          <w:lang w:val="it-IT"/>
        </w:rPr>
        <w:t>Halsmarter</w:t>
      </w:r>
      <w:proofErr w:type="spellEnd"/>
      <w:r w:rsidRPr="00E82F6F">
        <w:rPr>
          <w:bCs/>
          <w:color w:val="000000"/>
          <w:lang w:val="it-IT"/>
        </w:rPr>
        <w:t xml:space="preserve"> con </w:t>
      </w:r>
      <w:proofErr w:type="spellStart"/>
      <w:r w:rsidRPr="00E82F6F">
        <w:rPr>
          <w:bCs/>
          <w:color w:val="000000"/>
          <w:lang w:val="it-IT"/>
        </w:rPr>
        <w:t>Tulfein</w:t>
      </w:r>
      <w:proofErr w:type="spellEnd"/>
      <w:r w:rsidRPr="00E82F6F">
        <w:rPr>
          <w:color w:val="000000"/>
          <w:lang w:val="it-IT"/>
        </w:rPr>
        <w:t xml:space="preserve">. L’impianto si trova a quasi 2.000 metri sul livello del mare e sarà aperto nel dicembre 2020. </w:t>
      </w:r>
    </w:p>
    <w:p w14:paraId="4B1FC182" w14:textId="77777777" w:rsidR="00E82F6F" w:rsidRDefault="00E82F6F" w:rsidP="00E82F6F">
      <w:pPr>
        <w:spacing w:after="0"/>
        <w:jc w:val="both"/>
        <w:rPr>
          <w:color w:val="000000"/>
          <w:lang w:val="it-IT"/>
        </w:rPr>
      </w:pPr>
    </w:p>
    <w:p w14:paraId="4E14196E" w14:textId="712E4D7E" w:rsidR="00E82F6F" w:rsidRPr="00E82F6F" w:rsidRDefault="00E82F6F" w:rsidP="00E82F6F">
      <w:pPr>
        <w:jc w:val="both"/>
        <w:rPr>
          <w:b/>
          <w:color w:val="000000"/>
          <w:lang w:val="it-IT"/>
        </w:rPr>
      </w:pPr>
      <w:r w:rsidRPr="00E82F6F">
        <w:rPr>
          <w:b/>
          <w:bCs/>
          <w:color w:val="000000"/>
          <w:lang w:val="it-IT"/>
        </w:rPr>
        <w:t xml:space="preserve">La stazione sciistica di </w:t>
      </w:r>
      <w:proofErr w:type="spellStart"/>
      <w:r w:rsidRPr="00E82F6F">
        <w:rPr>
          <w:b/>
          <w:bCs/>
          <w:color w:val="000000"/>
          <w:lang w:val="it-IT"/>
        </w:rPr>
        <w:t>Berwang</w:t>
      </w:r>
      <w:proofErr w:type="spellEnd"/>
      <w:r w:rsidRPr="00E82F6F">
        <w:rPr>
          <w:b/>
          <w:bCs/>
          <w:color w:val="000000"/>
          <w:lang w:val="it-IT"/>
        </w:rPr>
        <w:t xml:space="preserve"> investe nella nuova seggiovia </w:t>
      </w:r>
      <w:proofErr w:type="spellStart"/>
      <w:r w:rsidRPr="00E82F6F">
        <w:rPr>
          <w:b/>
          <w:bCs/>
          <w:color w:val="000000"/>
          <w:lang w:val="it-IT"/>
        </w:rPr>
        <w:t>Thanellerbahn</w:t>
      </w:r>
      <w:proofErr w:type="spellEnd"/>
    </w:p>
    <w:p w14:paraId="309720D4" w14:textId="6F3C39FA" w:rsidR="00E82F6F" w:rsidRDefault="00E82F6F" w:rsidP="00E82F6F">
      <w:pPr>
        <w:jc w:val="both"/>
        <w:rPr>
          <w:color w:val="000000"/>
          <w:lang w:val="it-IT"/>
        </w:rPr>
      </w:pPr>
      <w:r w:rsidRPr="00E82F6F">
        <w:rPr>
          <w:color w:val="000000"/>
          <w:lang w:val="it-IT"/>
        </w:rPr>
        <w:t xml:space="preserve">La </w:t>
      </w:r>
      <w:proofErr w:type="spellStart"/>
      <w:r w:rsidRPr="00E82F6F">
        <w:rPr>
          <w:color w:val="000000"/>
          <w:lang w:val="it-IT"/>
        </w:rPr>
        <w:t>Thanellerbahn</w:t>
      </w:r>
      <w:proofErr w:type="spellEnd"/>
      <w:r w:rsidRPr="00E82F6F">
        <w:rPr>
          <w:color w:val="000000"/>
          <w:lang w:val="it-IT"/>
        </w:rPr>
        <w:t xml:space="preserve"> </w:t>
      </w:r>
      <w:r w:rsidRPr="00E82F6F">
        <w:rPr>
          <w:bCs/>
          <w:color w:val="000000"/>
          <w:lang w:val="it-IT"/>
        </w:rPr>
        <w:t xml:space="preserve">nella Tiroler Zugspitz Arena </w:t>
      </w:r>
      <w:r w:rsidRPr="00E82F6F">
        <w:rPr>
          <w:color w:val="000000"/>
          <w:lang w:val="it-IT"/>
        </w:rPr>
        <w:t xml:space="preserve">è una seggiovia nuova di zecca da sei persone completamente automatico e adatto ai bambini che sostituisce la vecchia seggiovia </w:t>
      </w:r>
      <w:proofErr w:type="spellStart"/>
      <w:r w:rsidRPr="00E82F6F">
        <w:rPr>
          <w:color w:val="000000"/>
          <w:lang w:val="it-IT"/>
        </w:rPr>
        <w:t>Thanellerkarlift</w:t>
      </w:r>
      <w:proofErr w:type="spellEnd"/>
      <w:r w:rsidRPr="00E82F6F">
        <w:rPr>
          <w:color w:val="000000"/>
          <w:lang w:val="it-IT"/>
        </w:rPr>
        <w:t>. Ha sedili singoli e protezioni di plastica in caso di maltempo. Il comprensorio si è dotato anche di un tappeto mobile per bambini.</w:t>
      </w:r>
    </w:p>
    <w:p w14:paraId="74891B76" w14:textId="4AEF7095" w:rsidR="00741A37" w:rsidRDefault="00741A37" w:rsidP="00E82F6F">
      <w:pPr>
        <w:jc w:val="both"/>
        <w:rPr>
          <w:color w:val="000000"/>
          <w:lang w:val="it-IT"/>
        </w:rPr>
      </w:pPr>
    </w:p>
    <w:p w14:paraId="0359B511" w14:textId="77777777" w:rsidR="009F4460" w:rsidRPr="006121D9" w:rsidRDefault="009F4460" w:rsidP="009F4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i/>
          <w:color w:val="000000"/>
          <w:lang w:val="it-IT"/>
        </w:rPr>
      </w:pPr>
      <w:r w:rsidRPr="006121D9">
        <w:rPr>
          <w:b/>
          <w:lang w:val="it"/>
        </w:rPr>
        <w:t>Ospitalità sicura</w:t>
      </w:r>
      <w:r w:rsidRPr="006121D9">
        <w:rPr>
          <w:i/>
          <w:color w:val="000000"/>
          <w:lang w:val="it-IT"/>
        </w:rPr>
        <w:t xml:space="preserve"> </w:t>
      </w:r>
    </w:p>
    <w:p w14:paraId="2384024D" w14:textId="77777777" w:rsidR="009F4460" w:rsidRPr="006121D9" w:rsidRDefault="009F4460" w:rsidP="009F4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exact"/>
        <w:jc w:val="center"/>
        <w:rPr>
          <w:lang w:val="it-IT"/>
        </w:rPr>
      </w:pPr>
      <w:r w:rsidRPr="006121D9">
        <w:rPr>
          <w:i/>
          <w:color w:val="000000"/>
          <w:lang w:val="it-IT"/>
        </w:rPr>
        <w:t>Troverete tutte le direttive e indicazioni di sicurezza “Covid-19</w:t>
      </w:r>
      <w:r>
        <w:rPr>
          <w:i/>
          <w:color w:val="000000"/>
          <w:lang w:val="it-IT"/>
        </w:rPr>
        <w:t>”</w:t>
      </w:r>
      <w:r w:rsidRPr="006121D9">
        <w:rPr>
          <w:i/>
          <w:color w:val="000000"/>
          <w:lang w:val="it-IT"/>
        </w:rPr>
        <w:t xml:space="preserve"> in vigore in Tirolo su</w:t>
      </w:r>
      <w:r w:rsidRPr="006121D9">
        <w:rPr>
          <w:color w:val="000000"/>
          <w:lang w:val="it-IT"/>
        </w:rPr>
        <w:t xml:space="preserve"> </w:t>
      </w:r>
      <w:hyperlink r:id="rId14" w:history="1">
        <w:r w:rsidRPr="006121D9">
          <w:rPr>
            <w:rStyle w:val="Internetlink"/>
            <w:color w:val="000000"/>
            <w:lang w:val="it-IT"/>
          </w:rPr>
          <w:t>www.tyrol.com/information-coronavirus</w:t>
        </w:r>
      </w:hyperlink>
      <w:r w:rsidRPr="006121D9">
        <w:rPr>
          <w:rStyle w:val="Internetlink"/>
          <w:color w:val="000000"/>
          <w:u w:val="none"/>
          <w:lang w:val="it-IT"/>
        </w:rPr>
        <w:t xml:space="preserve"> (in lingua inglese)</w:t>
      </w:r>
    </w:p>
    <w:p w14:paraId="1621752D" w14:textId="4E779B52" w:rsidR="00604E40" w:rsidRPr="00AF1796" w:rsidRDefault="00604E40" w:rsidP="00AF1796">
      <w:pPr>
        <w:spacing w:after="0" w:line="240" w:lineRule="atLeast"/>
        <w:jc w:val="both"/>
        <w:rPr>
          <w:lang w:val="it-IT"/>
        </w:rPr>
      </w:pPr>
      <w:r w:rsidRPr="00AF1796">
        <w:rPr>
          <w:lang w:val="it-IT"/>
        </w:rPr>
        <w:lastRenderedPageBreak/>
        <w:t xml:space="preserve">Foto in formato da stampa su </w:t>
      </w:r>
      <w:hyperlink r:id="rId15" w:history="1">
        <w:r w:rsidRPr="00AF1796">
          <w:rPr>
            <w:rStyle w:val="Hyperlink"/>
            <w:lang w:val="it-IT"/>
          </w:rPr>
          <w:t>www.presse.tirol.at/it</w:t>
        </w:r>
      </w:hyperlink>
      <w:r w:rsidRPr="00AF1796">
        <w:rPr>
          <w:lang w:val="it-IT"/>
        </w:rPr>
        <w:t xml:space="preserve"> e </w:t>
      </w:r>
      <w:hyperlink r:id="rId16" w:history="1">
        <w:r w:rsidRPr="00AF1796">
          <w:rPr>
            <w:rStyle w:val="Hyperlink"/>
            <w:lang w:val="it-IT"/>
          </w:rPr>
          <w:t>www.bilder.tirol.at</w:t>
        </w:r>
      </w:hyperlink>
      <w:r w:rsidRPr="00AF1796">
        <w:rPr>
          <w:lang w:val="it-IT"/>
        </w:rPr>
        <w:t>.</w:t>
      </w:r>
    </w:p>
    <w:p w14:paraId="18D568E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4E26D0AB" w14:textId="77777777" w:rsidR="00AF1796" w:rsidRPr="0086102C" w:rsidRDefault="00AF1796" w:rsidP="00AF1796">
      <w:pPr>
        <w:spacing w:after="0"/>
        <w:jc w:val="both"/>
        <w:rPr>
          <w:color w:val="000000"/>
          <w:lang w:val="it-IT"/>
        </w:rPr>
      </w:pPr>
    </w:p>
    <w:p w14:paraId="4053335C" w14:textId="000DD4BC" w:rsidR="00604E40" w:rsidRPr="009F4460" w:rsidRDefault="00604E40" w:rsidP="002926D7">
      <w:pPr>
        <w:pStyle w:val="berTirol"/>
        <w:jc w:val="both"/>
        <w:rPr>
          <w:szCs w:val="19"/>
          <w:lang w:val="it-IT"/>
        </w:rPr>
      </w:pPr>
      <w:r w:rsidRPr="009F4460">
        <w:rPr>
          <w:szCs w:val="19"/>
          <w:lang w:val="it-IT"/>
        </w:rPr>
        <w:t xml:space="preserve">Il </w:t>
      </w:r>
      <w:r w:rsidRPr="009F4460">
        <w:rPr>
          <w:b/>
          <w:szCs w:val="19"/>
          <w:lang w:val="it-IT"/>
        </w:rPr>
        <w:t>Tirolo</w:t>
      </w:r>
      <w:r w:rsidRPr="009F4460">
        <w:rPr>
          <w:szCs w:val="19"/>
          <w:lang w:val="it-IT"/>
        </w:rPr>
        <w:t xml:space="preserve">, con </w:t>
      </w:r>
      <w:r w:rsidR="00741A37" w:rsidRPr="009F4460">
        <w:rPr>
          <w:szCs w:val="19"/>
          <w:lang w:val="it-IT"/>
        </w:rPr>
        <w:t>le sue</w:t>
      </w:r>
      <w:r w:rsidRPr="009F4460">
        <w:rPr>
          <w:szCs w:val="19"/>
          <w:lang w:val="it-IT"/>
        </w:rPr>
        <w:t xml:space="preserve"> 34 associazioni regionali, è una delle destinazioni turistiche leader dell'arco alpino. Il turismo tirolese vanta una storia di quasi 200 anni ed è contrassegnato da numerose esperienze pionieristiche. Gli ospiti apprezzano, sia d'estate che d'inverno, le straordinarie esperienze a contatto con la natura, l'alta qualità in fatto di servizio e infrastrutture e l'ospitalità rinomata a livello internazionale. La </w:t>
      </w:r>
      <w:r w:rsidRPr="009F4460">
        <w:rPr>
          <w:b/>
          <w:szCs w:val="19"/>
          <w:lang w:val="it-IT"/>
        </w:rPr>
        <w:t xml:space="preserve">Tirol </w:t>
      </w:r>
      <w:proofErr w:type="spellStart"/>
      <w:r w:rsidRPr="009F4460">
        <w:rPr>
          <w:b/>
          <w:szCs w:val="19"/>
          <w:lang w:val="it-IT"/>
        </w:rPr>
        <w:t>Werbung</w:t>
      </w:r>
      <w:proofErr w:type="spellEnd"/>
      <w:r w:rsidRPr="009F4460">
        <w:rPr>
          <w:b/>
          <w:szCs w:val="19"/>
          <w:lang w:val="it-IT"/>
        </w:rPr>
        <w:t xml:space="preserve"> GmbH </w:t>
      </w:r>
      <w:r w:rsidRPr="009F4460">
        <w:rPr>
          <w:szCs w:val="19"/>
          <w:lang w:val="it-IT"/>
        </w:rPr>
        <w:t>con sede a Innsbruck è l'organizzazione per la promozione del turismo della regione. Il suo compito principale è di posizionare il Tirolo come il più ambito centro del mondo alpino.</w:t>
      </w:r>
    </w:p>
    <w:tbl>
      <w:tblPr>
        <w:tblStyle w:val="Tabellenraster"/>
        <w:tblpPr w:vertAnchor="page" w:horzAnchor="page" w:tblpX="6976" w:tblpY="12338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604E40" w:rsidRPr="00BD78B1" w14:paraId="7EFB2E55" w14:textId="77777777" w:rsidTr="00AC32A7">
        <w:trPr>
          <w:cantSplit/>
          <w:trHeight w:hRule="exact" w:val="618"/>
        </w:trPr>
        <w:tc>
          <w:tcPr>
            <w:tcW w:w="4014" w:type="dxa"/>
          </w:tcPr>
          <w:p w14:paraId="52E62FBB" w14:textId="77777777" w:rsidR="00604E40" w:rsidRPr="001C6334" w:rsidRDefault="001F148F" w:rsidP="00AC32A7">
            <w:pPr>
              <w:pStyle w:val="Absender-Name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Vorname"/>
                <w:id w:val="-895739821"/>
                <w:placeholder>
                  <w:docPart w:val="F5B73FF2566A4F5A8A51674FAFBC6B42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Martina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Name"/>
                <w:id w:val="-2093143863"/>
                <w:placeholder>
                  <w:docPart w:val="231E78C6E699443799CAD1FA3E9CAEB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Nairz</w:t>
                </w:r>
              </w:sdtContent>
            </w:sdt>
          </w:p>
          <w:p w14:paraId="63C1F492" w14:textId="77777777" w:rsidR="00604E40" w:rsidRPr="001C6334" w:rsidRDefault="001F148F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  <w:lang w:val="it-IT"/>
                </w:rPr>
                <w:tag w:val="ccFunktion"/>
                <w:id w:val="60990731"/>
                <w:placeholder>
                  <w:docPart w:val="7F335087C25B414A9858DBDB7FC87C9B"/>
                </w:placeholder>
                <w:text/>
              </w:sdtPr>
              <w:sdtEndPr/>
              <w:sdtContent>
                <w:r w:rsidR="00604E40" w:rsidRPr="001C6334">
                  <w:rPr>
                    <w:rFonts w:ascii="Crimson Tirol Office" w:hAnsi="Crimson Tirol Office"/>
                    <w:sz w:val="20"/>
                    <w:szCs w:val="20"/>
                    <w:lang w:val="it-IT"/>
                  </w:rPr>
                  <w:t>Marketing Italia &amp; Francia</w:t>
                </w:r>
              </w:sdtContent>
            </w:sdt>
            <w:r w:rsidR="00604E40" w:rsidRPr="001C6334">
              <w:rPr>
                <w:rFonts w:ascii="Crimson Tirol Office" w:hAnsi="Crimson Tirol Office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6" w:type="dxa"/>
          </w:tcPr>
          <w:p w14:paraId="22D06480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  <w:tc>
          <w:tcPr>
            <w:tcW w:w="340" w:type="dxa"/>
          </w:tcPr>
          <w:p w14:paraId="2FAC45B6" w14:textId="77777777" w:rsidR="00604E40" w:rsidRPr="001C6334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  <w:lang w:val="it-IT"/>
              </w:rPr>
            </w:pPr>
          </w:p>
        </w:tc>
      </w:tr>
      <w:tr w:rsidR="00604E40" w:rsidRPr="00996D00" w14:paraId="73B1B4EF" w14:textId="77777777" w:rsidTr="00AC32A7">
        <w:trPr>
          <w:cantSplit/>
        </w:trPr>
        <w:tc>
          <w:tcPr>
            <w:tcW w:w="4014" w:type="dxa"/>
          </w:tcPr>
          <w:p w14:paraId="052D5D3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Tirol Werbung GmbH</w:t>
            </w:r>
          </w:p>
          <w:p w14:paraId="385D642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Maria-Theresien-Straße 55</w:t>
            </w:r>
          </w:p>
          <w:p w14:paraId="71D78128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6020 Innsbruck</w:t>
            </w:r>
          </w:p>
          <w:p w14:paraId="7382D1B1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Austria</w:t>
            </w:r>
          </w:p>
        </w:tc>
        <w:tc>
          <w:tcPr>
            <w:tcW w:w="176" w:type="dxa"/>
          </w:tcPr>
          <w:p w14:paraId="7CB35E5F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38521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</w:tr>
      <w:tr w:rsidR="00604E40" w:rsidRPr="00996D00" w14:paraId="2F628E90" w14:textId="77777777" w:rsidTr="00AC32A7">
        <w:trPr>
          <w:cantSplit/>
        </w:trPr>
        <w:tc>
          <w:tcPr>
            <w:tcW w:w="4014" w:type="dxa"/>
          </w:tcPr>
          <w:p w14:paraId="037735B4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TelefonDW"/>
                <w:id w:val="27001470"/>
                <w:placeholder>
                  <w:docPart w:val="38DC61EC31894DB880E4633F3BBF8828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0F53FE0E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461363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t</w:t>
            </w:r>
          </w:p>
        </w:tc>
      </w:tr>
      <w:tr w:rsidR="00604E40" w:rsidRPr="00996D00" w14:paraId="3224A43C" w14:textId="77777777" w:rsidTr="00AC32A7">
        <w:trPr>
          <w:cantSplit/>
        </w:trPr>
        <w:tc>
          <w:tcPr>
            <w:tcW w:w="4014" w:type="dxa"/>
          </w:tcPr>
          <w:p w14:paraId="7303FCBB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+43.512.5320.92-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FaxDW"/>
                <w:id w:val="14951408"/>
                <w:placeholder>
                  <w:docPart w:val="FAC9CC24D74D44BEA68BC4B4BFE71B64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B038AA4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1EAA76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f</w:t>
            </w:r>
          </w:p>
        </w:tc>
      </w:tr>
      <w:tr w:rsidR="00604E40" w:rsidRPr="00996D00" w14:paraId="2103C87F" w14:textId="77777777" w:rsidTr="00AC32A7">
        <w:trPr>
          <w:cantSplit/>
        </w:trPr>
        <w:tc>
          <w:tcPr>
            <w:tcW w:w="4014" w:type="dxa"/>
          </w:tcPr>
          <w:p w14:paraId="42BD63C5" w14:textId="77777777" w:rsidR="00604E40" w:rsidRPr="00996D00" w:rsidRDefault="00604E40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+43.664.80532-</w:t>
            </w: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MobilDW"/>
                <w:id w:val="14951409"/>
                <w:placeholder>
                  <w:docPart w:val="6A72ACE23D5E4E8B82675AC573AD69B5"/>
                </w:placeholder>
                <w:text/>
              </w:sdtPr>
              <w:sdtEndPr/>
              <w:sdtContent>
                <w:r w:rsidRPr="00996D00">
                  <w:rPr>
                    <w:rFonts w:ascii="Crimson Tirol Office" w:hAnsi="Crimson Tirol Office"/>
                    <w:sz w:val="20"/>
                    <w:szCs w:val="20"/>
                  </w:rPr>
                  <w:t>663</w:t>
                </w:r>
              </w:sdtContent>
            </w:sdt>
          </w:p>
        </w:tc>
        <w:tc>
          <w:tcPr>
            <w:tcW w:w="176" w:type="dxa"/>
          </w:tcPr>
          <w:p w14:paraId="76A94B76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C0F855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c</w:t>
            </w:r>
          </w:p>
        </w:tc>
      </w:tr>
      <w:tr w:rsidR="00604E40" w:rsidRPr="00996D00" w14:paraId="6AC361D9" w14:textId="77777777" w:rsidTr="00AC32A7">
        <w:trPr>
          <w:cantSplit/>
        </w:trPr>
        <w:tc>
          <w:tcPr>
            <w:tcW w:w="4014" w:type="dxa"/>
          </w:tcPr>
          <w:p w14:paraId="292F6E07" w14:textId="77777777" w:rsidR="00604E40" w:rsidRPr="00996D00" w:rsidRDefault="001F148F" w:rsidP="00AC32A7">
            <w:pPr>
              <w:pStyle w:val="Absender"/>
              <w:rPr>
                <w:rFonts w:ascii="Crimson Tirol Office" w:hAnsi="Crimson Tirol Office"/>
                <w:sz w:val="20"/>
                <w:szCs w:val="20"/>
              </w:rPr>
            </w:pPr>
            <w:sdt>
              <w:sdtPr>
                <w:rPr>
                  <w:rFonts w:ascii="Crimson Tirol Office" w:hAnsi="Crimson Tirol Office"/>
                  <w:sz w:val="20"/>
                  <w:szCs w:val="20"/>
                </w:rPr>
                <w:tag w:val="ccEMail"/>
                <w:id w:val="-652688270"/>
                <w:placeholder>
                  <w:docPart w:val="B839BDFD85D646F389DA01F6337961E9"/>
                </w:placeholder>
                <w:text/>
              </w:sdtPr>
              <w:sdtEndPr/>
              <w:sdtContent>
                <w:proofErr w:type="gramStart"/>
                <w:r w:rsidR="00604E40" w:rsidRPr="00996D00">
                  <w:rPr>
                    <w:rFonts w:ascii="Crimson Tirol Office" w:hAnsi="Crimson Tirol Office"/>
                    <w:sz w:val="20"/>
                    <w:szCs w:val="20"/>
                  </w:rPr>
                  <w:t>martina.nairz</w:t>
                </w:r>
                <w:proofErr w:type="gramEnd"/>
              </w:sdtContent>
            </w:sdt>
            <w:r w:rsidR="00604E40" w:rsidRPr="00996D00">
              <w:rPr>
                <w:rFonts w:ascii="Crimson Tirol Office" w:hAnsi="Crimson Tirol Office"/>
                <w:sz w:val="20"/>
                <w:szCs w:val="20"/>
              </w:rPr>
              <w:t>@tirolwerbung.at</w:t>
            </w:r>
          </w:p>
        </w:tc>
        <w:tc>
          <w:tcPr>
            <w:tcW w:w="176" w:type="dxa"/>
          </w:tcPr>
          <w:p w14:paraId="1B9CDDBC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F32AF1" w14:textId="77777777" w:rsidR="00604E40" w:rsidRPr="00996D00" w:rsidRDefault="00604E40" w:rsidP="00AC32A7">
            <w:pPr>
              <w:pStyle w:val="Adresskuerzel"/>
              <w:rPr>
                <w:rFonts w:ascii="Crimson Tirol Office" w:hAnsi="Crimson Tirol Office"/>
                <w:sz w:val="20"/>
                <w:szCs w:val="20"/>
              </w:rPr>
            </w:pPr>
            <w:r w:rsidRPr="00996D00">
              <w:rPr>
                <w:rFonts w:ascii="Crimson Tirol Office" w:hAnsi="Crimson Tirol Office"/>
                <w:sz w:val="20"/>
                <w:szCs w:val="20"/>
              </w:rPr>
              <w:t>e</w:t>
            </w:r>
          </w:p>
        </w:tc>
      </w:tr>
      <w:bookmarkEnd w:id="0"/>
    </w:tbl>
    <w:p w14:paraId="3479287A" w14:textId="4CFF617A" w:rsidR="00D76B8C" w:rsidRDefault="00D76B8C" w:rsidP="00D76B8C"/>
    <w:sectPr w:rsidR="00D76B8C" w:rsidSect="001273F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1406" w14:textId="77777777" w:rsidR="000E707E" w:rsidRDefault="000E707E" w:rsidP="00E95192">
      <w:pPr>
        <w:spacing w:after="0" w:line="240" w:lineRule="auto"/>
      </w:pPr>
      <w:r>
        <w:separator/>
      </w:r>
    </w:p>
    <w:p w14:paraId="187EE0CE" w14:textId="77777777" w:rsidR="000E707E" w:rsidRDefault="000E707E"/>
  </w:endnote>
  <w:endnote w:type="continuationSeparator" w:id="0">
    <w:p w14:paraId="7AFAFD2F" w14:textId="77777777" w:rsidR="000E707E" w:rsidRDefault="000E707E" w:rsidP="00E95192">
      <w:pPr>
        <w:spacing w:after="0" w:line="240" w:lineRule="auto"/>
      </w:pPr>
      <w:r>
        <w:continuationSeparator/>
      </w:r>
    </w:p>
    <w:p w14:paraId="09CFF867" w14:textId="77777777" w:rsidR="000E707E" w:rsidRDefault="000E7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FADC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5F82451D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CCF9346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251DDF7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9BD1809" w14:textId="2F89372B" w:rsidR="004B22E3" w:rsidRPr="00604E40" w:rsidRDefault="006334F9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Novità dell’inverno 2020, offerte non solo per sciatori</w:t>
              </w:r>
            </w:p>
          </w:tc>
        </w:sdtContent>
      </w:sdt>
      <w:tc>
        <w:tcPr>
          <w:tcW w:w="215" w:type="dxa"/>
          <w:vAlign w:val="bottom"/>
        </w:tcPr>
        <w:p w14:paraId="264FD9CD" w14:textId="77777777" w:rsidR="004B22E3" w:rsidRPr="00604E40" w:rsidRDefault="004B22E3" w:rsidP="004B22E3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606360B7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D76B8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3A2544F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E0B27A9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4E53021C" w14:textId="77777777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6184BDFE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  <w:lang w:val="it-IT"/>
          </w:rPr>
          <w:alias w:val="Titel"/>
          <w:tag w:val=""/>
          <w:id w:val="-306164185"/>
          <w:placeholder>
            <w:docPart w:val="5D85308E5D6F4E6E8324B0B8EFB4EF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3C79A09A" w14:textId="7799EE89" w:rsidR="007A27CB" w:rsidRPr="00604E40" w:rsidRDefault="006334F9" w:rsidP="003B7F2A">
              <w:pPr>
                <w:pStyle w:val="Fusszeile-Dokumenttitel"/>
                <w:rPr>
                  <w:noProof/>
                  <w:lang w:val="it-IT"/>
                </w:rPr>
              </w:pPr>
              <w:r>
                <w:rPr>
                  <w:noProof/>
                  <w:lang w:val="it-IT"/>
                </w:rPr>
                <w:t>Novità dell’inverno 2020, offerte non solo per sciatori</w:t>
              </w:r>
            </w:p>
          </w:tc>
        </w:sdtContent>
      </w:sdt>
      <w:tc>
        <w:tcPr>
          <w:tcW w:w="215" w:type="dxa"/>
          <w:vAlign w:val="bottom"/>
        </w:tcPr>
        <w:p w14:paraId="2112F9EE" w14:textId="77777777" w:rsidR="007A27CB" w:rsidRPr="00604E40" w:rsidRDefault="007A27CB" w:rsidP="00B00A9D">
          <w:pPr>
            <w:pStyle w:val="Bankverbindung"/>
            <w:rPr>
              <w:noProof/>
              <w:lang w:val="it-IT"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00AEBF6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03396">
            <w:rPr>
              <w:noProof/>
            </w:rPr>
            <w:t>1</w:t>
          </w:r>
          <w:r w:rsidR="00472398">
            <w:rPr>
              <w:noProof/>
            </w:rPr>
            <w:fldChar w:fldCharType="end"/>
          </w:r>
        </w:p>
      </w:tc>
    </w:tr>
  </w:tbl>
  <w:p w14:paraId="3CFD82CB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DBA5" w14:textId="77777777" w:rsidR="000E707E" w:rsidRDefault="000E707E" w:rsidP="00E95192">
      <w:pPr>
        <w:spacing w:after="0" w:line="240" w:lineRule="auto"/>
      </w:pPr>
      <w:r>
        <w:separator/>
      </w:r>
    </w:p>
    <w:p w14:paraId="11551C7D" w14:textId="77777777" w:rsidR="000E707E" w:rsidRDefault="000E707E"/>
  </w:footnote>
  <w:footnote w:type="continuationSeparator" w:id="0">
    <w:p w14:paraId="7877C516" w14:textId="77777777" w:rsidR="000E707E" w:rsidRDefault="000E707E" w:rsidP="00E95192">
      <w:pPr>
        <w:spacing w:after="0" w:line="240" w:lineRule="auto"/>
      </w:pPr>
      <w:r>
        <w:continuationSeparator/>
      </w:r>
    </w:p>
    <w:p w14:paraId="25D0D87A" w14:textId="77777777" w:rsidR="000E707E" w:rsidRDefault="000E7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23E52F7B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47ABC659" w14:textId="77777777" w:rsidR="007A27CB" w:rsidRDefault="007A27CB">
          <w:pPr>
            <w:pStyle w:val="Kopfzeile"/>
            <w:ind w:left="0"/>
          </w:pPr>
        </w:p>
      </w:tc>
    </w:tr>
  </w:tbl>
  <w:p w14:paraId="2A5B51C9" w14:textId="77777777" w:rsidR="000324F4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3D1B31D6" wp14:editId="5753A58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D462B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E7A5A4D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AC2CE8B" w14:textId="77777777" w:rsidR="007A27CB" w:rsidRDefault="007A27CB">
          <w:pPr>
            <w:pStyle w:val="Kopfzeile"/>
            <w:ind w:left="0"/>
          </w:pPr>
        </w:p>
      </w:tc>
    </w:tr>
  </w:tbl>
  <w:p w14:paraId="76E71176" w14:textId="77777777" w:rsidR="0077367A" w:rsidRDefault="00FC66C1">
    <w:pPr>
      <w:pStyle w:val="Kopfzeile"/>
    </w:pPr>
    <w:r w:rsidRPr="00493B7F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 wp14:anchorId="3F02DEA6" wp14:editId="6C246AA2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5E5BD" w14:textId="77777777" w:rsidR="001975E8" w:rsidRDefault="001975E8">
    <w:pPr>
      <w:pStyle w:val="Kopfzeile"/>
    </w:pPr>
  </w:p>
  <w:p w14:paraId="269B3F88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2" w15:restartNumberingAfterBreak="0">
    <w:nsid w:val="268902EF"/>
    <w:multiLevelType w:val="hybridMultilevel"/>
    <w:tmpl w:val="8FC88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524062C"/>
    <w:multiLevelType w:val="hybridMultilevel"/>
    <w:tmpl w:val="8F367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B27936"/>
    <w:multiLevelType w:val="hybridMultilevel"/>
    <w:tmpl w:val="FABA7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076"/>
    <w:multiLevelType w:val="hybridMultilevel"/>
    <w:tmpl w:val="767E38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8"/>
    <w:rsid w:val="00000549"/>
    <w:rsid w:val="000026CB"/>
    <w:rsid w:val="00006EA8"/>
    <w:rsid w:val="00007442"/>
    <w:rsid w:val="00024A06"/>
    <w:rsid w:val="00025139"/>
    <w:rsid w:val="000324F4"/>
    <w:rsid w:val="00032887"/>
    <w:rsid w:val="0003548E"/>
    <w:rsid w:val="00041B7C"/>
    <w:rsid w:val="0004447F"/>
    <w:rsid w:val="000455DB"/>
    <w:rsid w:val="00051264"/>
    <w:rsid w:val="00055E7D"/>
    <w:rsid w:val="000567DE"/>
    <w:rsid w:val="00061381"/>
    <w:rsid w:val="0006466A"/>
    <w:rsid w:val="000703EA"/>
    <w:rsid w:val="00077BCB"/>
    <w:rsid w:val="00082F95"/>
    <w:rsid w:val="0008731F"/>
    <w:rsid w:val="00087BAD"/>
    <w:rsid w:val="00093EFA"/>
    <w:rsid w:val="0009785B"/>
    <w:rsid w:val="000A2621"/>
    <w:rsid w:val="000A7067"/>
    <w:rsid w:val="000C7E56"/>
    <w:rsid w:val="000D24B7"/>
    <w:rsid w:val="000E3BB3"/>
    <w:rsid w:val="000E707E"/>
    <w:rsid w:val="000F3147"/>
    <w:rsid w:val="001022E1"/>
    <w:rsid w:val="00102B89"/>
    <w:rsid w:val="001044D9"/>
    <w:rsid w:val="001176A4"/>
    <w:rsid w:val="00121BAF"/>
    <w:rsid w:val="001259F3"/>
    <w:rsid w:val="001273FB"/>
    <w:rsid w:val="00133E7E"/>
    <w:rsid w:val="00142F50"/>
    <w:rsid w:val="001459AA"/>
    <w:rsid w:val="0014610C"/>
    <w:rsid w:val="001475F0"/>
    <w:rsid w:val="00157001"/>
    <w:rsid w:val="00157A14"/>
    <w:rsid w:val="00157DD6"/>
    <w:rsid w:val="001657D7"/>
    <w:rsid w:val="00175334"/>
    <w:rsid w:val="00177CDC"/>
    <w:rsid w:val="00185A0A"/>
    <w:rsid w:val="001910EB"/>
    <w:rsid w:val="001975E8"/>
    <w:rsid w:val="001A20BA"/>
    <w:rsid w:val="001A38D7"/>
    <w:rsid w:val="001C515B"/>
    <w:rsid w:val="001C60A1"/>
    <w:rsid w:val="001C7F8C"/>
    <w:rsid w:val="001D46F3"/>
    <w:rsid w:val="001D51C8"/>
    <w:rsid w:val="001D5250"/>
    <w:rsid w:val="001D6089"/>
    <w:rsid w:val="001E2997"/>
    <w:rsid w:val="001E2A49"/>
    <w:rsid w:val="001E3E46"/>
    <w:rsid w:val="001E6D68"/>
    <w:rsid w:val="001F148F"/>
    <w:rsid w:val="001F6E83"/>
    <w:rsid w:val="00202756"/>
    <w:rsid w:val="00203B56"/>
    <w:rsid w:val="0021213D"/>
    <w:rsid w:val="00216E5C"/>
    <w:rsid w:val="00224A10"/>
    <w:rsid w:val="00231642"/>
    <w:rsid w:val="002342E6"/>
    <w:rsid w:val="00235E14"/>
    <w:rsid w:val="002462EE"/>
    <w:rsid w:val="00253E44"/>
    <w:rsid w:val="00261489"/>
    <w:rsid w:val="00274FBA"/>
    <w:rsid w:val="0028287E"/>
    <w:rsid w:val="002838AF"/>
    <w:rsid w:val="00290423"/>
    <w:rsid w:val="002926D7"/>
    <w:rsid w:val="002B0B19"/>
    <w:rsid w:val="002B7E0A"/>
    <w:rsid w:val="002B7EC9"/>
    <w:rsid w:val="002C0803"/>
    <w:rsid w:val="002D1088"/>
    <w:rsid w:val="002D32E0"/>
    <w:rsid w:val="00303BB4"/>
    <w:rsid w:val="003044D4"/>
    <w:rsid w:val="00306213"/>
    <w:rsid w:val="00306A9E"/>
    <w:rsid w:val="00307F08"/>
    <w:rsid w:val="00310800"/>
    <w:rsid w:val="00311A4C"/>
    <w:rsid w:val="003122BF"/>
    <w:rsid w:val="00313FC5"/>
    <w:rsid w:val="003324DB"/>
    <w:rsid w:val="003339A7"/>
    <w:rsid w:val="003409B6"/>
    <w:rsid w:val="00342729"/>
    <w:rsid w:val="0034757E"/>
    <w:rsid w:val="00352B9F"/>
    <w:rsid w:val="00352BB2"/>
    <w:rsid w:val="00371870"/>
    <w:rsid w:val="00373808"/>
    <w:rsid w:val="00376739"/>
    <w:rsid w:val="00385507"/>
    <w:rsid w:val="00385FCF"/>
    <w:rsid w:val="00397F52"/>
    <w:rsid w:val="003A34E8"/>
    <w:rsid w:val="003A6A1C"/>
    <w:rsid w:val="003B3F05"/>
    <w:rsid w:val="003B7F2A"/>
    <w:rsid w:val="003C49D7"/>
    <w:rsid w:val="003E20DF"/>
    <w:rsid w:val="003E21EB"/>
    <w:rsid w:val="003E69C9"/>
    <w:rsid w:val="003E754E"/>
    <w:rsid w:val="003F0DD1"/>
    <w:rsid w:val="003F0E55"/>
    <w:rsid w:val="003F3CA4"/>
    <w:rsid w:val="003F6103"/>
    <w:rsid w:val="0040331F"/>
    <w:rsid w:val="0040540F"/>
    <w:rsid w:val="00412357"/>
    <w:rsid w:val="00425BBA"/>
    <w:rsid w:val="004316B6"/>
    <w:rsid w:val="004430F3"/>
    <w:rsid w:val="00446724"/>
    <w:rsid w:val="0044708F"/>
    <w:rsid w:val="00460B06"/>
    <w:rsid w:val="00463DE6"/>
    <w:rsid w:val="004658CC"/>
    <w:rsid w:val="004717EF"/>
    <w:rsid w:val="00472398"/>
    <w:rsid w:val="00493B7F"/>
    <w:rsid w:val="004970DA"/>
    <w:rsid w:val="004B22E3"/>
    <w:rsid w:val="004B3B53"/>
    <w:rsid w:val="004B7A8A"/>
    <w:rsid w:val="004C5AE1"/>
    <w:rsid w:val="004C6A40"/>
    <w:rsid w:val="004D20F8"/>
    <w:rsid w:val="004D2771"/>
    <w:rsid w:val="004D7E48"/>
    <w:rsid w:val="004F1ECF"/>
    <w:rsid w:val="004F7E24"/>
    <w:rsid w:val="005067C4"/>
    <w:rsid w:val="00511934"/>
    <w:rsid w:val="005234F7"/>
    <w:rsid w:val="005305B5"/>
    <w:rsid w:val="00542B8B"/>
    <w:rsid w:val="0056252C"/>
    <w:rsid w:val="0056636E"/>
    <w:rsid w:val="00566A2B"/>
    <w:rsid w:val="00576BBF"/>
    <w:rsid w:val="00590071"/>
    <w:rsid w:val="00593797"/>
    <w:rsid w:val="0059383B"/>
    <w:rsid w:val="005A77CC"/>
    <w:rsid w:val="005C0D4B"/>
    <w:rsid w:val="005C2661"/>
    <w:rsid w:val="005C70FC"/>
    <w:rsid w:val="005D1204"/>
    <w:rsid w:val="005D1D69"/>
    <w:rsid w:val="005E4237"/>
    <w:rsid w:val="005E62BF"/>
    <w:rsid w:val="005F2147"/>
    <w:rsid w:val="005F4C47"/>
    <w:rsid w:val="005F785A"/>
    <w:rsid w:val="00603396"/>
    <w:rsid w:val="00603CC6"/>
    <w:rsid w:val="00604E40"/>
    <w:rsid w:val="00624FB5"/>
    <w:rsid w:val="006334F9"/>
    <w:rsid w:val="00642E18"/>
    <w:rsid w:val="00653AB0"/>
    <w:rsid w:val="00654F21"/>
    <w:rsid w:val="0066218A"/>
    <w:rsid w:val="0066309D"/>
    <w:rsid w:val="006632C8"/>
    <w:rsid w:val="0066722B"/>
    <w:rsid w:val="00670B49"/>
    <w:rsid w:val="00675A65"/>
    <w:rsid w:val="00681067"/>
    <w:rsid w:val="006B213B"/>
    <w:rsid w:val="006B64B8"/>
    <w:rsid w:val="006B6C7F"/>
    <w:rsid w:val="006B751F"/>
    <w:rsid w:val="006C0070"/>
    <w:rsid w:val="006C14DB"/>
    <w:rsid w:val="006C18CA"/>
    <w:rsid w:val="006C6A4A"/>
    <w:rsid w:val="007131A8"/>
    <w:rsid w:val="00715417"/>
    <w:rsid w:val="0072066C"/>
    <w:rsid w:val="0073282B"/>
    <w:rsid w:val="007354B3"/>
    <w:rsid w:val="0073610D"/>
    <w:rsid w:val="007364C7"/>
    <w:rsid w:val="00740DE6"/>
    <w:rsid w:val="00741A37"/>
    <w:rsid w:val="0074410E"/>
    <w:rsid w:val="00751692"/>
    <w:rsid w:val="0075252A"/>
    <w:rsid w:val="007616AA"/>
    <w:rsid w:val="0076311E"/>
    <w:rsid w:val="00766F7F"/>
    <w:rsid w:val="007676C5"/>
    <w:rsid w:val="00770BE7"/>
    <w:rsid w:val="00771C75"/>
    <w:rsid w:val="00772E8E"/>
    <w:rsid w:val="0077367A"/>
    <w:rsid w:val="00774280"/>
    <w:rsid w:val="007817BA"/>
    <w:rsid w:val="00783A18"/>
    <w:rsid w:val="00796028"/>
    <w:rsid w:val="007A27CB"/>
    <w:rsid w:val="007B1876"/>
    <w:rsid w:val="007B2583"/>
    <w:rsid w:val="007B25D1"/>
    <w:rsid w:val="007C5419"/>
    <w:rsid w:val="007D5C38"/>
    <w:rsid w:val="007E0659"/>
    <w:rsid w:val="007E6633"/>
    <w:rsid w:val="007F3D6B"/>
    <w:rsid w:val="00806755"/>
    <w:rsid w:val="00834E79"/>
    <w:rsid w:val="00846D3E"/>
    <w:rsid w:val="00850657"/>
    <w:rsid w:val="00865A7A"/>
    <w:rsid w:val="00867828"/>
    <w:rsid w:val="00870CFA"/>
    <w:rsid w:val="00887C6B"/>
    <w:rsid w:val="00887F39"/>
    <w:rsid w:val="008919FC"/>
    <w:rsid w:val="00893A10"/>
    <w:rsid w:val="008B0149"/>
    <w:rsid w:val="008B1804"/>
    <w:rsid w:val="008B48DA"/>
    <w:rsid w:val="008C089D"/>
    <w:rsid w:val="008C2AE3"/>
    <w:rsid w:val="008D0BF5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933E0"/>
    <w:rsid w:val="009A4AF2"/>
    <w:rsid w:val="009B42BB"/>
    <w:rsid w:val="009C7C95"/>
    <w:rsid w:val="009D3BC7"/>
    <w:rsid w:val="009D6268"/>
    <w:rsid w:val="009D71B8"/>
    <w:rsid w:val="009E1CA4"/>
    <w:rsid w:val="009E5672"/>
    <w:rsid w:val="009E7B5D"/>
    <w:rsid w:val="009F4460"/>
    <w:rsid w:val="009F5F73"/>
    <w:rsid w:val="00A02B73"/>
    <w:rsid w:val="00A075D6"/>
    <w:rsid w:val="00A17E3F"/>
    <w:rsid w:val="00A23FDA"/>
    <w:rsid w:val="00A31DC1"/>
    <w:rsid w:val="00A36489"/>
    <w:rsid w:val="00A3769D"/>
    <w:rsid w:val="00A403FC"/>
    <w:rsid w:val="00A40F0E"/>
    <w:rsid w:val="00A54789"/>
    <w:rsid w:val="00A54A98"/>
    <w:rsid w:val="00A55312"/>
    <w:rsid w:val="00A61326"/>
    <w:rsid w:val="00A73866"/>
    <w:rsid w:val="00A74146"/>
    <w:rsid w:val="00A753C9"/>
    <w:rsid w:val="00A7695B"/>
    <w:rsid w:val="00A84DC2"/>
    <w:rsid w:val="00A879FC"/>
    <w:rsid w:val="00A9390A"/>
    <w:rsid w:val="00A97404"/>
    <w:rsid w:val="00A9760A"/>
    <w:rsid w:val="00AA5D60"/>
    <w:rsid w:val="00AB5033"/>
    <w:rsid w:val="00AB7469"/>
    <w:rsid w:val="00AC1CB7"/>
    <w:rsid w:val="00AD01B4"/>
    <w:rsid w:val="00AD1056"/>
    <w:rsid w:val="00AD222E"/>
    <w:rsid w:val="00AD23CC"/>
    <w:rsid w:val="00AD48F2"/>
    <w:rsid w:val="00AF1796"/>
    <w:rsid w:val="00AF289A"/>
    <w:rsid w:val="00AF714E"/>
    <w:rsid w:val="00B00A9D"/>
    <w:rsid w:val="00B0459E"/>
    <w:rsid w:val="00B06787"/>
    <w:rsid w:val="00B110DB"/>
    <w:rsid w:val="00B12A4C"/>
    <w:rsid w:val="00B13028"/>
    <w:rsid w:val="00B1432F"/>
    <w:rsid w:val="00B26D70"/>
    <w:rsid w:val="00B33BAD"/>
    <w:rsid w:val="00B40672"/>
    <w:rsid w:val="00B504CC"/>
    <w:rsid w:val="00B52658"/>
    <w:rsid w:val="00B53067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02CF"/>
    <w:rsid w:val="00BA2CE4"/>
    <w:rsid w:val="00BA2E1A"/>
    <w:rsid w:val="00BA4A5C"/>
    <w:rsid w:val="00BB6D44"/>
    <w:rsid w:val="00BB7676"/>
    <w:rsid w:val="00BD5886"/>
    <w:rsid w:val="00BD78B1"/>
    <w:rsid w:val="00BE0287"/>
    <w:rsid w:val="00BE63D5"/>
    <w:rsid w:val="00C014F2"/>
    <w:rsid w:val="00C02664"/>
    <w:rsid w:val="00C1139B"/>
    <w:rsid w:val="00C13347"/>
    <w:rsid w:val="00C30A39"/>
    <w:rsid w:val="00C31BA2"/>
    <w:rsid w:val="00C3599E"/>
    <w:rsid w:val="00C400D6"/>
    <w:rsid w:val="00C41D58"/>
    <w:rsid w:val="00C42843"/>
    <w:rsid w:val="00C43E74"/>
    <w:rsid w:val="00C47BE5"/>
    <w:rsid w:val="00C512B1"/>
    <w:rsid w:val="00C609AC"/>
    <w:rsid w:val="00C65202"/>
    <w:rsid w:val="00C665A2"/>
    <w:rsid w:val="00C676CB"/>
    <w:rsid w:val="00C7160F"/>
    <w:rsid w:val="00C75664"/>
    <w:rsid w:val="00C825AF"/>
    <w:rsid w:val="00C93F08"/>
    <w:rsid w:val="00C94C8B"/>
    <w:rsid w:val="00C9602E"/>
    <w:rsid w:val="00C97AF7"/>
    <w:rsid w:val="00C97E5E"/>
    <w:rsid w:val="00CA1675"/>
    <w:rsid w:val="00CB1BD8"/>
    <w:rsid w:val="00CB4AEF"/>
    <w:rsid w:val="00CC096D"/>
    <w:rsid w:val="00CC382B"/>
    <w:rsid w:val="00CD7027"/>
    <w:rsid w:val="00CF3596"/>
    <w:rsid w:val="00D014E5"/>
    <w:rsid w:val="00D100AF"/>
    <w:rsid w:val="00D232A5"/>
    <w:rsid w:val="00D31508"/>
    <w:rsid w:val="00D36590"/>
    <w:rsid w:val="00D36F35"/>
    <w:rsid w:val="00D402E7"/>
    <w:rsid w:val="00D433C5"/>
    <w:rsid w:val="00D45106"/>
    <w:rsid w:val="00D5192C"/>
    <w:rsid w:val="00D56E48"/>
    <w:rsid w:val="00D60DBE"/>
    <w:rsid w:val="00D6298E"/>
    <w:rsid w:val="00D67A1E"/>
    <w:rsid w:val="00D714FE"/>
    <w:rsid w:val="00D74FE5"/>
    <w:rsid w:val="00D76B8C"/>
    <w:rsid w:val="00D83744"/>
    <w:rsid w:val="00D83C36"/>
    <w:rsid w:val="00DA3630"/>
    <w:rsid w:val="00DB0FB6"/>
    <w:rsid w:val="00DB4B5F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07E86"/>
    <w:rsid w:val="00E14B1D"/>
    <w:rsid w:val="00E1562D"/>
    <w:rsid w:val="00E30BCD"/>
    <w:rsid w:val="00E324BE"/>
    <w:rsid w:val="00E3428B"/>
    <w:rsid w:val="00E35D5E"/>
    <w:rsid w:val="00E55506"/>
    <w:rsid w:val="00E57073"/>
    <w:rsid w:val="00E818A2"/>
    <w:rsid w:val="00E82F6F"/>
    <w:rsid w:val="00E84DD9"/>
    <w:rsid w:val="00E85CE2"/>
    <w:rsid w:val="00E94660"/>
    <w:rsid w:val="00E95192"/>
    <w:rsid w:val="00E960C2"/>
    <w:rsid w:val="00EB1D9C"/>
    <w:rsid w:val="00EB4963"/>
    <w:rsid w:val="00EB7B5C"/>
    <w:rsid w:val="00EC1A54"/>
    <w:rsid w:val="00ED5013"/>
    <w:rsid w:val="00ED5464"/>
    <w:rsid w:val="00EE0346"/>
    <w:rsid w:val="00EF15AB"/>
    <w:rsid w:val="00EF4991"/>
    <w:rsid w:val="00F10083"/>
    <w:rsid w:val="00F12670"/>
    <w:rsid w:val="00F126BF"/>
    <w:rsid w:val="00F23D69"/>
    <w:rsid w:val="00F30BFF"/>
    <w:rsid w:val="00F311CE"/>
    <w:rsid w:val="00F54752"/>
    <w:rsid w:val="00F573A6"/>
    <w:rsid w:val="00F673D8"/>
    <w:rsid w:val="00FA7F3D"/>
    <w:rsid w:val="00FB3598"/>
    <w:rsid w:val="00FB3F78"/>
    <w:rsid w:val="00FB69BD"/>
    <w:rsid w:val="00FC05A2"/>
    <w:rsid w:val="00FC66C1"/>
    <w:rsid w:val="00FD0C05"/>
    <w:rsid w:val="00FE27C5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76927E"/>
  <w15:docId w15:val="{58CE8133-1855-485F-AB00-2BFAE0E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7" w:qFormat="1"/>
    <w:lsdException w:name="heading 3" w:uiPriority="8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unhideWhenUsed="1" w:qFormat="1"/>
    <w:lsdException w:name="table of figures" w:semiHidden="1" w:uiPriority="39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uiPriority="48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uiPriority="48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uiPriority="49" w:unhideWhenUsed="1"/>
    <w:lsdException w:name="Strong" w:uiPriority="22" w:qFormat="1"/>
    <w:lsdException w:name="Emphasis" w:uiPriority="1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1D51C8"/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8"/>
    <w:qFormat/>
    <w:rsid w:val="0040331F"/>
    <w:pPr>
      <w:keepNext/>
      <w:keepLines/>
      <w:numPr>
        <w:ilvl w:val="2"/>
        <w:numId w:val="6"/>
      </w:numPr>
      <w:spacing w:before="120" w:after="6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A73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A73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AFA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67C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after="0" w:line="224" w:lineRule="atLeast"/>
      <w:jc w:val="right"/>
    </w:pPr>
    <w:rPr>
      <w:b/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after="0" w:line="224" w:lineRule="atLeast"/>
    </w:pPr>
    <w:rPr>
      <w:i/>
      <w:sz w:val="16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spacing w:after="0" w:line="240" w:lineRule="auto"/>
      <w:ind w:left="28"/>
    </w:pPr>
    <w:rPr>
      <w:b/>
      <w:smallCaps/>
      <w:sz w:val="17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spacing w:after="0" w:line="240" w:lineRule="auto"/>
      <w:ind w:left="28"/>
    </w:pPr>
    <w:rPr>
      <w:i/>
      <w:sz w:val="17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307F08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line="264" w:lineRule="auto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</w:p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</w:p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</w:p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after="0"/>
      <w:ind w:left="737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after="0"/>
      <w:ind w:left="737" w:hanging="737"/>
    </w:p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pPr>
      <w:spacing w:after="0" w:line="240" w:lineRule="auto"/>
    </w:pPr>
    <w:rPr>
      <w:i/>
      <w:sz w:val="15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spacing w:after="0" w:line="240" w:lineRule="auto"/>
      <w:ind w:left="28"/>
    </w:pPr>
    <w:rPr>
      <w:spacing w:val="-3"/>
      <w:sz w:val="17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/>
      <w:ind w:left="1680"/>
    </w:p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contextualSpacing/>
    </w:p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ind w:left="1152" w:right="1152"/>
    </w:pPr>
    <w:rPr>
      <w:rFonts w:eastAsiaTheme="minorEastAsia"/>
      <w:i/>
      <w:iCs/>
      <w:color w:val="CBDBDB" w:themeColor="accent1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styleId="Gitternetztabelle1hell">
    <w:name w:val="Grid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13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A7386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/>
      <w:ind w:left="864" w:right="864"/>
      <w:jc w:val="center"/>
    </w:pPr>
    <w:rPr>
      <w:i/>
      <w:iCs/>
      <w:color w:val="CBDBD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A7386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A7386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A7386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A7386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7386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A73866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A73866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A73866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A73866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A73866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A7386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/>
      <w:ind w:left="737"/>
    </w:p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/>
    </w:pPr>
    <w:rPr>
      <w:rFonts w:asciiTheme="majorHAnsi" w:hAnsiTheme="majorHAnsi"/>
      <w:sz w:val="28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after="0"/>
    </w:pPr>
    <w:rPr>
      <w:i/>
    </w:rPr>
  </w:style>
  <w:style w:type="paragraph" w:customStyle="1" w:styleId="berTirol">
    <w:name w:val="Über Tirol"/>
    <w:basedOn w:val="Standard"/>
    <w:uiPriority w:val="4"/>
    <w:qFormat/>
    <w:rsid w:val="001D51C8"/>
    <w:pPr>
      <w:spacing w:line="260" w:lineRule="atLeast"/>
    </w:pPr>
    <w:rPr>
      <w:sz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C75"/>
    <w:rPr>
      <w:color w:val="605E5C"/>
      <w:shd w:val="clear" w:color="auto" w:fill="E1DFDD"/>
    </w:rPr>
  </w:style>
  <w:style w:type="character" w:customStyle="1" w:styleId="Internetlink">
    <w:name w:val="Internet link"/>
    <w:basedOn w:val="Absatz-Standardschriftart"/>
    <w:rsid w:val="00740DE6"/>
    <w:rPr>
      <w:i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tirol.com/it/prenota-vacanza/offerte/details/trans-dolomiti-pauschale/" TargetMode="External"/><Relationship Id="rId13" Type="http://schemas.openxmlformats.org/officeDocument/2006/relationships/hyperlink" Target="http://www.wipptal.at/it/wipptal-da-vivere/inverno/offerte-vacanze-inverno/vacanze-con-le-rachette-da-nev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pr-partner.it%2F%3Fnltr%3DNjA4OzU1O2h0dHBzOi8vd3d3LndpcHB0YWwuYXQvaXQvd2lwcHRhbC1kYS12aXZlcmUvaW52ZXJuby9vZmZlcnRlLXZhY2FuemUtaW52ZXJuby92YWNhbnplLWNvbi1sZS1yYWNoZXR0ZS1kYS1uZXZlOztjNTJkYjk4ZWU5ZmJlYTkwYjM5MzcxYTg5ZGQ3N2Y5NQ%253D%253D&amp;data=01%7C01%7CMartina.Nairz%40tirolwerbung.at%7C57fc8fbb9e084605ff7a08d869d48d45%7Cbf45a60ddc48417e9b2fdebcc153d643%7C0&amp;sdata=HtqtTJeqKFFLK9ZPUKkeBojuo3NunNYMZEaPCmgbVHw%3D&amp;reserved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lder.tirol.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ptal.at/it/wipptal-da-vivere/inverno/offerte-vacanze-inverno/giornate-attive-sulla-ne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e.tirol.at/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pr-partner.it%2F%3Fnltr%3DNjA4OzU1O2h0dHBzOi8vd3d3LndpcHB0YWwuYXQvaXQvd2lwcHRhbC1kYS12aXZlcmUvaW52ZXJuby9vZmZlcnRlLXZhY2FuemUtaW52ZXJuby9naW9ybmF0ZS1hdHRpdmUtc3VsbGEtbmV2ZTs7MGFkMTViOWJkMWU3YzliYmQ0OWZkNzcxODhhNmY0Mjg%253D&amp;data=01%7C01%7CMartina.Nairz%40tirolwerbung.at%7C57fc8fbb9e084605ff7a08d869d48d45%7Cbf45a60ddc48417e9b2fdebcc153d643%7C0&amp;sdata=DZk8p4nkGqJ8rwD3Vm5ycXnjvwyEelbRuVYLeQRpHqw%3D&amp;reserved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en/kat-walk/booking/online-booking.html" TargetMode="External"/><Relationship Id="rId14" Type="http://schemas.openxmlformats.org/officeDocument/2006/relationships/hyperlink" Target="http://www.tyrol.com/information-coronaviru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rolwerbung.at\ibk\apps\MSOFFICE\Vorlagen\TW\Pressemitteilung%20M&#228;r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6C5BCD6284461FA0BC6C0CC9FA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9B17-25A5-4295-9BE4-DED2E25DD6D7}"/>
      </w:docPartPr>
      <w:docPartBody>
        <w:p w:rsidR="006A3559" w:rsidRDefault="00B92E54">
          <w:pPr>
            <w:pStyle w:val="0A6C5BCD6284461FA0BC6C0CC9FADD88"/>
          </w:pPr>
          <w:r w:rsidRPr="00440C93">
            <w:rPr>
              <w:rStyle w:val="Platzhaltertext"/>
            </w:rPr>
            <w:t>[Titel]</w:t>
          </w:r>
        </w:p>
      </w:docPartBody>
    </w:docPart>
    <w:docPart>
      <w:docPartPr>
        <w:name w:val="5D85308E5D6F4E6E8324B0B8EFB4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D067-2439-4137-92B4-8B3DCBE73647}"/>
      </w:docPartPr>
      <w:docPartBody>
        <w:p w:rsidR="006A3559" w:rsidRDefault="00B92E54">
          <w:pPr>
            <w:pStyle w:val="5D85308E5D6F4E6E8324B0B8EFB4EF9A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F5B73FF2566A4F5A8A51674FAFBC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8986-28A8-45C9-8387-87B6C1DCCC04}"/>
      </w:docPartPr>
      <w:docPartBody>
        <w:p w:rsidR="00E3532D" w:rsidRDefault="00A460CE" w:rsidP="00A460CE">
          <w:pPr>
            <w:pStyle w:val="F5B73FF2566A4F5A8A51674FAFBC6B4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31E78C6E699443799CAD1FA3E9C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D3EA-8B9F-4A87-AD7B-AB531DA480CB}"/>
      </w:docPartPr>
      <w:docPartBody>
        <w:p w:rsidR="00E3532D" w:rsidRDefault="00A460CE" w:rsidP="00A460CE">
          <w:pPr>
            <w:pStyle w:val="231E78C6E699443799CAD1FA3E9CAEBB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F335087C25B414A9858DBDB7FC8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CD4-388D-49C2-A2BE-1DB85B68BFF2}"/>
      </w:docPartPr>
      <w:docPartBody>
        <w:p w:rsidR="00E3532D" w:rsidRDefault="00A460CE" w:rsidP="00A460CE">
          <w:pPr>
            <w:pStyle w:val="7F335087C25B414A9858DBDB7FC87C9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38DC61EC31894DB880E4633F3BBF8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38340-3695-495C-BF41-6995771D6728}"/>
      </w:docPartPr>
      <w:docPartBody>
        <w:p w:rsidR="00E3532D" w:rsidRDefault="00A460CE" w:rsidP="00A460CE">
          <w:pPr>
            <w:pStyle w:val="38DC61EC31894DB880E4633F3BBF882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FAC9CC24D74D44BEA68BC4B4BFE7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68795-E49B-4348-99E8-D225698958F5}"/>
      </w:docPartPr>
      <w:docPartBody>
        <w:p w:rsidR="00E3532D" w:rsidRDefault="00A460CE" w:rsidP="00A460CE">
          <w:pPr>
            <w:pStyle w:val="FAC9CC24D74D44BEA68BC4B4BFE71B64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6A72ACE23D5E4E8B82675AC573AD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A73A-77D7-4FCC-BBA9-7F33C8DED208}"/>
      </w:docPartPr>
      <w:docPartBody>
        <w:p w:rsidR="00E3532D" w:rsidRDefault="00A460CE" w:rsidP="00A460CE">
          <w:pPr>
            <w:pStyle w:val="6A72ACE23D5E4E8B82675AC573AD69B5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B839BDFD85D646F389DA01F633796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E43E3-C55E-4E52-BDFA-B852EBEF2906}"/>
      </w:docPartPr>
      <w:docPartBody>
        <w:p w:rsidR="00E3532D" w:rsidRDefault="00A460CE" w:rsidP="00A460CE">
          <w:pPr>
            <w:pStyle w:val="B839BDFD85D646F389DA01F6337961E9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54"/>
    <w:rsid w:val="0054416A"/>
    <w:rsid w:val="006A3559"/>
    <w:rsid w:val="00796692"/>
    <w:rsid w:val="00950326"/>
    <w:rsid w:val="00A460CE"/>
    <w:rsid w:val="00B92E54"/>
    <w:rsid w:val="00D518C9"/>
    <w:rsid w:val="00E3532D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460CE"/>
    <w:rPr>
      <w:color w:val="808080"/>
    </w:rPr>
  </w:style>
  <w:style w:type="paragraph" w:customStyle="1" w:styleId="0A6C5BCD6284461FA0BC6C0CC9FADD88">
    <w:name w:val="0A6C5BCD6284461FA0BC6C0CC9FADD88"/>
  </w:style>
  <w:style w:type="paragraph" w:customStyle="1" w:styleId="5CE52BE196B94E0F8562DEA682D136B2">
    <w:name w:val="5CE52BE196B94E0F8562DEA682D136B2"/>
  </w:style>
  <w:style w:type="paragraph" w:customStyle="1" w:styleId="6DFD164255404E00B2B53FCDF4B7DE97">
    <w:name w:val="6DFD164255404E00B2B53FCDF4B7DE97"/>
  </w:style>
  <w:style w:type="paragraph" w:customStyle="1" w:styleId="9BECD86B2C5D469B8E19788CB591E865">
    <w:name w:val="9BECD86B2C5D469B8E19788CB591E865"/>
  </w:style>
  <w:style w:type="paragraph" w:customStyle="1" w:styleId="D6842C9D842142F79AACC345BC7E9A66">
    <w:name w:val="D6842C9D842142F79AACC345BC7E9A66"/>
  </w:style>
  <w:style w:type="paragraph" w:customStyle="1" w:styleId="0F0EF7F31DF748929F993F3F18C5D0E9">
    <w:name w:val="0F0EF7F31DF748929F993F3F18C5D0E9"/>
  </w:style>
  <w:style w:type="paragraph" w:customStyle="1" w:styleId="17431130BF474F398F606A2160691262">
    <w:name w:val="17431130BF474F398F606A2160691262"/>
  </w:style>
  <w:style w:type="paragraph" w:customStyle="1" w:styleId="0B526C942EA84FAA9BA38B72489B3E58">
    <w:name w:val="0B526C942EA84FAA9BA38B72489B3E58"/>
  </w:style>
  <w:style w:type="paragraph" w:customStyle="1" w:styleId="32DC525D0D0645E4B917470E736580ED">
    <w:name w:val="32DC525D0D0645E4B917470E736580ED"/>
  </w:style>
  <w:style w:type="paragraph" w:customStyle="1" w:styleId="4C7A47E0A88149ADBD30E53F84631548">
    <w:name w:val="4C7A47E0A88149ADBD30E53F84631548"/>
  </w:style>
  <w:style w:type="paragraph" w:customStyle="1" w:styleId="A2734DA1914B40209F852B632ECA768A">
    <w:name w:val="A2734DA1914B40209F852B632ECA768A"/>
  </w:style>
  <w:style w:type="paragraph" w:customStyle="1" w:styleId="5D85308E5D6F4E6E8324B0B8EFB4EF9A">
    <w:name w:val="5D85308E5D6F4E6E8324B0B8EFB4EF9A"/>
  </w:style>
  <w:style w:type="paragraph" w:customStyle="1" w:styleId="F5B73FF2566A4F5A8A51674FAFBC6B42">
    <w:name w:val="F5B73FF2566A4F5A8A51674FAFBC6B42"/>
    <w:rsid w:val="00A460CE"/>
  </w:style>
  <w:style w:type="paragraph" w:customStyle="1" w:styleId="231E78C6E699443799CAD1FA3E9CAEBB">
    <w:name w:val="231E78C6E699443799CAD1FA3E9CAEBB"/>
    <w:rsid w:val="00A460CE"/>
  </w:style>
  <w:style w:type="paragraph" w:customStyle="1" w:styleId="7F335087C25B414A9858DBDB7FC87C9B">
    <w:name w:val="7F335087C25B414A9858DBDB7FC87C9B"/>
    <w:rsid w:val="00A460CE"/>
  </w:style>
  <w:style w:type="paragraph" w:customStyle="1" w:styleId="38DC61EC31894DB880E4633F3BBF8828">
    <w:name w:val="38DC61EC31894DB880E4633F3BBF8828"/>
    <w:rsid w:val="00A460CE"/>
  </w:style>
  <w:style w:type="paragraph" w:customStyle="1" w:styleId="FAC9CC24D74D44BEA68BC4B4BFE71B64">
    <w:name w:val="FAC9CC24D74D44BEA68BC4B4BFE71B64"/>
    <w:rsid w:val="00A460CE"/>
  </w:style>
  <w:style w:type="paragraph" w:customStyle="1" w:styleId="6A72ACE23D5E4E8B82675AC573AD69B5">
    <w:name w:val="6A72ACE23D5E4E8B82675AC573AD69B5"/>
    <w:rsid w:val="00A460CE"/>
  </w:style>
  <w:style w:type="paragraph" w:customStyle="1" w:styleId="B839BDFD85D646F389DA01F6337961E9">
    <w:name w:val="B839BDFD85D646F389DA01F6337961E9"/>
    <w:rsid w:val="00A46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8D90-C4EF-4A06-ABF9-A661821D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Märkte.dotx</Template>
  <TotalTime>0</TotalTime>
  <Pages>4</Pages>
  <Words>1462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Novità dell’inverno 2020, offerte non solo per sciatori</vt:lpstr>
    </vt:vector>
  </TitlesOfParts>
  <Company>-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Novità dell’inverno 2020, offerte non solo per sciatori</dc:title>
  <dc:creator>Brunner Klaus</dc:creator>
  <cp:lastModifiedBy>Martina Nairz</cp:lastModifiedBy>
  <cp:revision>20</cp:revision>
  <cp:lastPrinted>2020-12-10T14:42:00Z</cp:lastPrinted>
  <dcterms:created xsi:type="dcterms:W3CDTF">2020-06-26T10:11:00Z</dcterms:created>
  <dcterms:modified xsi:type="dcterms:W3CDTF">2020-12-10T14:43:00Z</dcterms:modified>
</cp:coreProperties>
</file>