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841B0" w14:textId="3339F40B" w:rsidR="00121CF2" w:rsidRDefault="00703609" w:rsidP="00121CF2">
      <w:pPr>
        <w:spacing w:after="240"/>
        <w:rPr>
          <w:sz w:val="22"/>
          <w:szCs w:val="22"/>
          <w:lang w:val="de-AT"/>
        </w:rPr>
      </w:pPr>
      <w:r>
        <w:rPr>
          <w:noProof/>
          <w:sz w:val="22"/>
          <w:szCs w:val="22"/>
          <w:lang w:val="de-AT"/>
          <w14:ligatures w14:val="standardContextual"/>
        </w:rPr>
        <w:drawing>
          <wp:anchor distT="0" distB="0" distL="114300" distR="114300" simplePos="0" relativeHeight="251658240" behindDoc="1" locked="0" layoutInCell="1" allowOverlap="1" wp14:anchorId="5154117A" wp14:editId="796F1859">
            <wp:simplePos x="0" y="0"/>
            <wp:positionH relativeFrom="column">
              <wp:posOffset>4181271</wp:posOffset>
            </wp:positionH>
            <wp:positionV relativeFrom="paragraph">
              <wp:posOffset>-416608</wp:posOffset>
            </wp:positionV>
            <wp:extent cx="1956725" cy="802257"/>
            <wp:effectExtent l="0" t="0" r="5715" b="0"/>
            <wp:wrapNone/>
            <wp:docPr id="902013272" name="Grafik 1" descr="Ein Bild, das Tex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013272" name="Grafik 1" descr="Ein Bild, das Text, Schrift, Design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956725" cy="802257"/>
                    </a:xfrm>
                    <a:prstGeom prst="rect">
                      <a:avLst/>
                    </a:prstGeom>
                  </pic:spPr>
                </pic:pic>
              </a:graphicData>
            </a:graphic>
            <wp14:sizeRelH relativeFrom="page">
              <wp14:pctWidth>0</wp14:pctWidth>
            </wp14:sizeRelH>
            <wp14:sizeRelV relativeFrom="page">
              <wp14:pctHeight>0</wp14:pctHeight>
            </wp14:sizeRelV>
          </wp:anchor>
        </w:drawing>
      </w:r>
      <w:r w:rsidR="00121CF2">
        <w:rPr>
          <w:sz w:val="22"/>
          <w:szCs w:val="22"/>
          <w:lang w:val="de-AT"/>
        </w:rPr>
        <w:br/>
      </w:r>
    </w:p>
    <w:p w14:paraId="20F294E5" w14:textId="77777777" w:rsidR="00703609" w:rsidRDefault="00703609" w:rsidP="00121CF2">
      <w:pPr>
        <w:spacing w:after="240"/>
        <w:rPr>
          <w:b/>
          <w:bCs/>
          <w:sz w:val="30"/>
          <w:szCs w:val="30"/>
          <w:lang w:val="de-AT"/>
        </w:rPr>
      </w:pPr>
    </w:p>
    <w:p w14:paraId="186B07AD" w14:textId="19CEDB77" w:rsidR="00121CF2" w:rsidRPr="00121CF2" w:rsidRDefault="00121CF2" w:rsidP="00121CF2">
      <w:pPr>
        <w:spacing w:after="240"/>
        <w:rPr>
          <w:b/>
          <w:bCs/>
          <w:sz w:val="30"/>
          <w:szCs w:val="30"/>
          <w:lang w:val="de-AT"/>
        </w:rPr>
      </w:pPr>
      <w:r w:rsidRPr="00121CF2">
        <w:rPr>
          <w:b/>
          <w:bCs/>
          <w:sz w:val="30"/>
          <w:szCs w:val="30"/>
          <w:lang w:val="de-AT"/>
        </w:rPr>
        <w:t xml:space="preserve">Neue Geocaching-Runde </w:t>
      </w:r>
      <w:bookmarkStart w:id="0" w:name="_Hlk174027457"/>
      <w:r w:rsidRPr="00121CF2">
        <w:rPr>
          <w:b/>
          <w:bCs/>
          <w:sz w:val="30"/>
          <w:szCs w:val="30"/>
          <w:lang w:val="de-AT"/>
        </w:rPr>
        <w:t>„Sonnenplateau-Runde Tulfes“ sorgt für Rätselspaß</w:t>
      </w:r>
    </w:p>
    <w:bookmarkEnd w:id="0"/>
    <w:p w14:paraId="525CE98D" w14:textId="5B980876" w:rsidR="00121CF2" w:rsidRDefault="00121CF2" w:rsidP="00121CF2">
      <w:pPr>
        <w:spacing w:after="240"/>
        <w:rPr>
          <w:sz w:val="22"/>
          <w:szCs w:val="22"/>
          <w:lang w:val="de-AT"/>
        </w:rPr>
      </w:pPr>
      <w:r w:rsidRPr="00703609">
        <w:rPr>
          <w:i/>
          <w:iCs/>
          <w:sz w:val="22"/>
          <w:szCs w:val="22"/>
          <w:lang w:val="de-AT"/>
        </w:rPr>
        <w:t>Hall in Tirol</w:t>
      </w:r>
      <w:r>
        <w:rPr>
          <w:sz w:val="22"/>
          <w:szCs w:val="22"/>
          <w:lang w:val="de-AT"/>
        </w:rPr>
        <w:t>-</w:t>
      </w:r>
      <w:r w:rsidR="00703609">
        <w:rPr>
          <w:sz w:val="22"/>
          <w:szCs w:val="22"/>
          <w:lang w:val="de-AT"/>
        </w:rPr>
        <w:t xml:space="preserve"> </w:t>
      </w:r>
      <w:r>
        <w:rPr>
          <w:sz w:val="22"/>
          <w:szCs w:val="22"/>
          <w:lang w:val="de-AT"/>
        </w:rPr>
        <w:t xml:space="preserve">Insgesamt acht Schätze verbergen sich auf der neuen Geocaching-Runde des Tourismusverband Region Hall-Wattens. Auf etwa drei Kilometern Länge lädt diese Tour auch Familien mit Kindern ein, sich auf ein spannendes Geocaching-Abenteuer zu begeben. </w:t>
      </w:r>
      <w:r w:rsidR="004203C9">
        <w:rPr>
          <w:sz w:val="22"/>
          <w:szCs w:val="22"/>
          <w:lang w:val="de-AT"/>
        </w:rPr>
        <w:t>Ideal: Ein netter Spielplatz säumt den</w:t>
      </w:r>
      <w:r w:rsidR="00703609">
        <w:rPr>
          <w:sz w:val="22"/>
          <w:szCs w:val="22"/>
          <w:lang w:val="de-AT"/>
        </w:rPr>
        <w:t xml:space="preserve"> einfach begehbaren</w:t>
      </w:r>
      <w:r w:rsidR="004203C9">
        <w:rPr>
          <w:sz w:val="22"/>
          <w:szCs w:val="22"/>
          <w:lang w:val="de-AT"/>
        </w:rPr>
        <w:t xml:space="preserve"> Weg. </w:t>
      </w:r>
    </w:p>
    <w:p w14:paraId="0E85D2BC" w14:textId="2209B36E" w:rsidR="004203C9" w:rsidRPr="004203C9" w:rsidRDefault="004203C9" w:rsidP="00121CF2">
      <w:pPr>
        <w:spacing w:after="240"/>
        <w:rPr>
          <w:b/>
          <w:bCs/>
          <w:sz w:val="22"/>
          <w:szCs w:val="22"/>
          <w:lang w:val="de-AT"/>
        </w:rPr>
      </w:pPr>
      <w:r w:rsidRPr="004203C9">
        <w:rPr>
          <w:b/>
          <w:bCs/>
          <w:sz w:val="22"/>
          <w:szCs w:val="22"/>
          <w:lang w:val="de-AT"/>
        </w:rPr>
        <w:t>Geocaching</w:t>
      </w:r>
      <w:r w:rsidR="00703609">
        <w:rPr>
          <w:b/>
          <w:bCs/>
          <w:sz w:val="22"/>
          <w:szCs w:val="22"/>
          <w:lang w:val="de-AT"/>
        </w:rPr>
        <w:t>: Outdoor-</w:t>
      </w:r>
      <w:r w:rsidRPr="004203C9">
        <w:rPr>
          <w:b/>
          <w:bCs/>
          <w:sz w:val="22"/>
          <w:szCs w:val="22"/>
          <w:lang w:val="de-AT"/>
        </w:rPr>
        <w:t>Abenteuer per GPS</w:t>
      </w:r>
    </w:p>
    <w:p w14:paraId="7E4486F3" w14:textId="689A9CFF" w:rsidR="004B7C40" w:rsidRDefault="004B7C40" w:rsidP="00121CF2">
      <w:pPr>
        <w:spacing w:after="240"/>
        <w:rPr>
          <w:sz w:val="22"/>
          <w:szCs w:val="22"/>
          <w:lang w:val="de-AT"/>
        </w:rPr>
      </w:pPr>
      <w:r w:rsidRPr="004B7C40">
        <w:rPr>
          <w:sz w:val="22"/>
          <w:szCs w:val="22"/>
          <w:lang w:val="de-AT"/>
        </w:rPr>
        <w:t>Beim Geocaching werden mittels Outdoor-GPS-Gerät oder einem GPS-fähigem Handy bzw. der App nach geographischen Koordinaten gesucht. Ein Geocache ist in der Regel ein wasserdichter Behälter, in dem sich ein Logbuch sowie häufig auch verschiedene kleine Tauschgegenstände befinden. Der Besucher kann sich in ein Logbuch eintragen, um seine erfolgreiche Suche zu dokumentieren. Anschließend wird der Geocache wieder an der Stelle versteckt, an der er zuvor gefunden wurde.</w:t>
      </w:r>
    </w:p>
    <w:p w14:paraId="48B630BF" w14:textId="0092BB24" w:rsidR="004203C9" w:rsidRPr="009C1A04" w:rsidRDefault="004203C9" w:rsidP="00121CF2">
      <w:pPr>
        <w:spacing w:after="240"/>
        <w:rPr>
          <w:b/>
          <w:bCs/>
          <w:sz w:val="22"/>
          <w:szCs w:val="22"/>
          <w:lang w:val="de-AT"/>
        </w:rPr>
      </w:pPr>
      <w:r w:rsidRPr="009C1A04">
        <w:rPr>
          <w:b/>
          <w:bCs/>
          <w:sz w:val="22"/>
          <w:szCs w:val="22"/>
          <w:lang w:val="de-AT"/>
        </w:rPr>
        <w:t xml:space="preserve">Vom Inntal bis zum </w:t>
      </w:r>
      <w:proofErr w:type="spellStart"/>
      <w:r w:rsidRPr="009C1A04">
        <w:rPr>
          <w:b/>
          <w:bCs/>
          <w:sz w:val="22"/>
          <w:szCs w:val="22"/>
          <w:lang w:val="de-AT"/>
        </w:rPr>
        <w:t>Glungezergipfel</w:t>
      </w:r>
      <w:proofErr w:type="spellEnd"/>
      <w:r w:rsidRPr="009C1A04">
        <w:rPr>
          <w:b/>
          <w:bCs/>
          <w:sz w:val="22"/>
          <w:szCs w:val="22"/>
          <w:lang w:val="de-AT"/>
        </w:rPr>
        <w:t>: Schatzsuche auf vielfältigen Pfaden</w:t>
      </w:r>
    </w:p>
    <w:p w14:paraId="6AB6F935" w14:textId="0E3D34D4" w:rsidR="004203C9" w:rsidRDefault="00703609" w:rsidP="00121CF2">
      <w:pPr>
        <w:spacing w:after="240"/>
        <w:rPr>
          <w:sz w:val="22"/>
          <w:szCs w:val="22"/>
        </w:rPr>
      </w:pPr>
      <w:r>
        <w:rPr>
          <w:sz w:val="22"/>
          <w:szCs w:val="22"/>
        </w:rPr>
        <w:t>I</w:t>
      </w:r>
      <w:r w:rsidRPr="00703609">
        <w:rPr>
          <w:sz w:val="22"/>
          <w:szCs w:val="22"/>
        </w:rPr>
        <w:t xml:space="preserve">nsgesamt befinden sich inzwischen </w:t>
      </w:r>
      <w:r>
        <w:rPr>
          <w:sz w:val="22"/>
          <w:szCs w:val="22"/>
        </w:rPr>
        <w:t>neun</w:t>
      </w:r>
      <w:r w:rsidRPr="00703609">
        <w:rPr>
          <w:sz w:val="22"/>
          <w:szCs w:val="22"/>
        </w:rPr>
        <w:t xml:space="preserve"> Geocaching-Routen in der Region</w:t>
      </w:r>
      <w:r>
        <w:rPr>
          <w:sz w:val="22"/>
          <w:szCs w:val="22"/>
        </w:rPr>
        <w:t xml:space="preserve"> Hall-Wattens</w:t>
      </w:r>
      <w:r w:rsidRPr="00703609">
        <w:rPr>
          <w:sz w:val="22"/>
          <w:szCs w:val="22"/>
        </w:rPr>
        <w:t xml:space="preserve"> - sowohl im </w:t>
      </w:r>
      <w:r w:rsidRPr="00703609">
        <w:rPr>
          <w:sz w:val="22"/>
          <w:szCs w:val="22"/>
        </w:rPr>
        <w:t>Tal</w:t>
      </w:r>
      <w:r w:rsidRPr="00703609">
        <w:rPr>
          <w:sz w:val="22"/>
          <w:szCs w:val="22"/>
        </w:rPr>
        <w:t xml:space="preserve"> als auch hoch oben in den Bergen. Von kurzen Familienrunden </w:t>
      </w:r>
      <w:r>
        <w:rPr>
          <w:sz w:val="22"/>
          <w:szCs w:val="22"/>
        </w:rPr>
        <w:t xml:space="preserve">in Gnadenwald oder Thaur </w:t>
      </w:r>
      <w:r w:rsidRPr="00703609">
        <w:rPr>
          <w:sz w:val="22"/>
          <w:szCs w:val="22"/>
        </w:rPr>
        <w:t xml:space="preserve">bis hin zu anspruchsvollen </w:t>
      </w:r>
      <w:proofErr w:type="spellStart"/>
      <w:r w:rsidRPr="00703609">
        <w:rPr>
          <w:sz w:val="22"/>
          <w:szCs w:val="22"/>
        </w:rPr>
        <w:t>Powertrails</w:t>
      </w:r>
      <w:proofErr w:type="spellEnd"/>
      <w:r w:rsidRPr="00703609">
        <w:rPr>
          <w:sz w:val="22"/>
          <w:szCs w:val="22"/>
        </w:rPr>
        <w:t xml:space="preserve"> </w:t>
      </w:r>
      <w:r>
        <w:rPr>
          <w:sz w:val="22"/>
          <w:szCs w:val="22"/>
        </w:rPr>
        <w:t xml:space="preserve">in den Tuxer Alpen </w:t>
      </w:r>
      <w:r w:rsidRPr="00703609">
        <w:rPr>
          <w:sz w:val="22"/>
          <w:szCs w:val="22"/>
        </w:rPr>
        <w:t>ist für jeden etwas dabei.</w:t>
      </w:r>
    </w:p>
    <w:p w14:paraId="5BE587BE" w14:textId="77777777" w:rsidR="00703609" w:rsidRDefault="00703609" w:rsidP="00121CF2">
      <w:pPr>
        <w:spacing w:after="240"/>
        <w:rPr>
          <w:sz w:val="22"/>
          <w:szCs w:val="22"/>
        </w:rPr>
      </w:pPr>
    </w:p>
    <w:p w14:paraId="46ABF2FA" w14:textId="77777777" w:rsidR="00703609" w:rsidRPr="00703609" w:rsidRDefault="00703609" w:rsidP="00703609">
      <w:pPr>
        <w:rPr>
          <w:sz w:val="22"/>
          <w:szCs w:val="22"/>
        </w:rPr>
      </w:pPr>
      <w:r w:rsidRPr="00703609">
        <w:rPr>
          <w:sz w:val="22"/>
          <w:szCs w:val="22"/>
        </w:rPr>
        <w:t>Rückfragehinweis:</w:t>
      </w:r>
    </w:p>
    <w:p w14:paraId="4D953138" w14:textId="77777777" w:rsidR="00703609" w:rsidRPr="00703609" w:rsidRDefault="00703609" w:rsidP="00703609">
      <w:pPr>
        <w:rPr>
          <w:sz w:val="22"/>
          <w:szCs w:val="22"/>
        </w:rPr>
      </w:pPr>
      <w:r w:rsidRPr="00703609">
        <w:rPr>
          <w:sz w:val="22"/>
          <w:szCs w:val="22"/>
        </w:rPr>
        <w:t>Hall-Wattens Tourismus</w:t>
      </w:r>
    </w:p>
    <w:p w14:paraId="6F8E075C" w14:textId="77777777" w:rsidR="00703609" w:rsidRPr="00703609" w:rsidRDefault="00703609" w:rsidP="00703609">
      <w:pPr>
        <w:rPr>
          <w:sz w:val="22"/>
          <w:szCs w:val="22"/>
        </w:rPr>
      </w:pPr>
      <w:r w:rsidRPr="00703609">
        <w:rPr>
          <w:sz w:val="22"/>
          <w:szCs w:val="22"/>
        </w:rPr>
        <w:t>Vera Rainer</w:t>
      </w:r>
    </w:p>
    <w:p w14:paraId="36BD4258" w14:textId="77777777" w:rsidR="00703609" w:rsidRPr="00703609" w:rsidRDefault="00703609" w:rsidP="00703609">
      <w:pPr>
        <w:rPr>
          <w:sz w:val="22"/>
          <w:szCs w:val="22"/>
        </w:rPr>
      </w:pPr>
      <w:r w:rsidRPr="00703609">
        <w:rPr>
          <w:sz w:val="22"/>
          <w:szCs w:val="22"/>
        </w:rPr>
        <w:t>Unterer Stadtplatz 19</w:t>
      </w:r>
    </w:p>
    <w:p w14:paraId="15A6EF6E" w14:textId="77777777" w:rsidR="00703609" w:rsidRPr="00703609" w:rsidRDefault="00703609" w:rsidP="00703609">
      <w:pPr>
        <w:rPr>
          <w:sz w:val="22"/>
          <w:szCs w:val="22"/>
        </w:rPr>
      </w:pPr>
      <w:r w:rsidRPr="00703609">
        <w:rPr>
          <w:sz w:val="22"/>
          <w:szCs w:val="22"/>
        </w:rPr>
        <w:t>6060 Hall in Tirol</w:t>
      </w:r>
    </w:p>
    <w:p w14:paraId="403C110C" w14:textId="77777777" w:rsidR="00703609" w:rsidRPr="00703609" w:rsidRDefault="00703609" w:rsidP="00703609">
      <w:pPr>
        <w:rPr>
          <w:sz w:val="22"/>
          <w:szCs w:val="22"/>
        </w:rPr>
      </w:pPr>
      <w:r w:rsidRPr="00703609">
        <w:rPr>
          <w:sz w:val="22"/>
          <w:szCs w:val="22"/>
        </w:rPr>
        <w:t>Tel.: +43 (0)5223 45544 - 32</w:t>
      </w:r>
    </w:p>
    <w:p w14:paraId="5B66DB24" w14:textId="77777777" w:rsidR="00703609" w:rsidRPr="00703609" w:rsidRDefault="00703609" w:rsidP="00703609">
      <w:pPr>
        <w:rPr>
          <w:sz w:val="22"/>
          <w:szCs w:val="22"/>
        </w:rPr>
      </w:pPr>
      <w:hyperlink r:id="rId5" w:history="1">
        <w:r w:rsidRPr="00703609">
          <w:rPr>
            <w:sz w:val="22"/>
            <w:szCs w:val="22"/>
          </w:rPr>
          <w:t>v.rainer@hall-wattens.at</w:t>
        </w:r>
      </w:hyperlink>
      <w:r w:rsidRPr="00703609">
        <w:rPr>
          <w:sz w:val="22"/>
          <w:szCs w:val="22"/>
        </w:rPr>
        <w:t xml:space="preserve"> </w:t>
      </w:r>
    </w:p>
    <w:p w14:paraId="13F1CF7E" w14:textId="77777777" w:rsidR="00703609" w:rsidRPr="00703609" w:rsidRDefault="00703609" w:rsidP="00703609">
      <w:pPr>
        <w:rPr>
          <w:sz w:val="22"/>
          <w:szCs w:val="22"/>
        </w:rPr>
      </w:pPr>
      <w:hyperlink r:id="rId6" w:history="1">
        <w:r w:rsidRPr="00703609">
          <w:rPr>
            <w:sz w:val="22"/>
            <w:szCs w:val="22"/>
          </w:rPr>
          <w:t>www.hall-wattens.at</w:t>
        </w:r>
      </w:hyperlink>
      <w:r w:rsidRPr="00703609">
        <w:rPr>
          <w:sz w:val="22"/>
          <w:szCs w:val="22"/>
        </w:rPr>
        <w:t xml:space="preserve">   </w:t>
      </w:r>
    </w:p>
    <w:p w14:paraId="72A2FD68" w14:textId="77777777" w:rsidR="00703609" w:rsidRPr="00703609" w:rsidRDefault="00703609" w:rsidP="00703609">
      <w:pPr>
        <w:rPr>
          <w:sz w:val="22"/>
          <w:szCs w:val="22"/>
        </w:rPr>
      </w:pPr>
    </w:p>
    <w:p w14:paraId="2D1021EA" w14:textId="77777777" w:rsidR="00121CF2" w:rsidRPr="00703609" w:rsidRDefault="00121CF2" w:rsidP="00703609">
      <w:pPr>
        <w:rPr>
          <w:sz w:val="22"/>
          <w:szCs w:val="22"/>
        </w:rPr>
      </w:pPr>
    </w:p>
    <w:p w14:paraId="110C04F6" w14:textId="77777777" w:rsidR="00121CF2" w:rsidRDefault="00121CF2" w:rsidP="00121CF2">
      <w:pPr>
        <w:spacing w:after="240"/>
        <w:rPr>
          <w:sz w:val="22"/>
          <w:szCs w:val="22"/>
          <w:lang w:val="de-AT"/>
        </w:rPr>
      </w:pPr>
    </w:p>
    <w:p w14:paraId="19285855" w14:textId="77777777" w:rsidR="00121CF2" w:rsidRDefault="00121CF2" w:rsidP="004B7C40">
      <w:pPr>
        <w:spacing w:after="240"/>
        <w:rPr>
          <w:sz w:val="22"/>
          <w:szCs w:val="22"/>
          <w:lang w:val="de-AT"/>
        </w:rPr>
      </w:pPr>
    </w:p>
    <w:p w14:paraId="010F2E74" w14:textId="77777777" w:rsidR="00C71C88" w:rsidRDefault="00C71C88"/>
    <w:sectPr w:rsidR="00C71C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CF2"/>
    <w:rsid w:val="00121CF2"/>
    <w:rsid w:val="001521AE"/>
    <w:rsid w:val="002F0B5C"/>
    <w:rsid w:val="002F5904"/>
    <w:rsid w:val="003832D9"/>
    <w:rsid w:val="004203C9"/>
    <w:rsid w:val="004B7C40"/>
    <w:rsid w:val="00633370"/>
    <w:rsid w:val="00703609"/>
    <w:rsid w:val="009C1A04"/>
    <w:rsid w:val="00C71C88"/>
    <w:rsid w:val="00F12E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DF001"/>
  <w15:chartTrackingRefBased/>
  <w15:docId w15:val="{D866C8F5-8C33-4036-AE31-7559333F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1CF2"/>
    <w:pPr>
      <w:spacing w:after="0" w:line="240" w:lineRule="auto"/>
    </w:pPr>
    <w:rPr>
      <w:rFonts w:ascii="Aptos" w:hAnsi="Aptos" w:cs="Aptos"/>
      <w:kern w:val="0"/>
      <w:sz w:val="24"/>
      <w:szCs w:val="24"/>
      <w:lang w:eastAsia="de-DE"/>
      <w14:ligatures w14:val="none"/>
    </w:rPr>
  </w:style>
  <w:style w:type="paragraph" w:styleId="berschrift1">
    <w:name w:val="heading 1"/>
    <w:basedOn w:val="Standard"/>
    <w:next w:val="Standard"/>
    <w:link w:val="berschrift1Zchn"/>
    <w:uiPriority w:val="9"/>
    <w:qFormat/>
    <w:rsid w:val="00121CF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121CF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121CF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121CF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berschrift5">
    <w:name w:val="heading 5"/>
    <w:basedOn w:val="Standard"/>
    <w:next w:val="Standard"/>
    <w:link w:val="berschrift5Zchn"/>
    <w:uiPriority w:val="9"/>
    <w:semiHidden/>
    <w:unhideWhenUsed/>
    <w:qFormat/>
    <w:rsid w:val="00121CF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berschrift6">
    <w:name w:val="heading 6"/>
    <w:basedOn w:val="Standard"/>
    <w:next w:val="Standard"/>
    <w:link w:val="berschrift6Zchn"/>
    <w:uiPriority w:val="9"/>
    <w:semiHidden/>
    <w:unhideWhenUsed/>
    <w:qFormat/>
    <w:rsid w:val="00121CF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erschrift7">
    <w:name w:val="heading 7"/>
    <w:basedOn w:val="Standard"/>
    <w:next w:val="Standard"/>
    <w:link w:val="berschrift7Zchn"/>
    <w:uiPriority w:val="9"/>
    <w:semiHidden/>
    <w:unhideWhenUsed/>
    <w:qFormat/>
    <w:rsid w:val="00121CF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erschrift8">
    <w:name w:val="heading 8"/>
    <w:basedOn w:val="Standard"/>
    <w:next w:val="Standard"/>
    <w:link w:val="berschrift8Zchn"/>
    <w:uiPriority w:val="9"/>
    <w:semiHidden/>
    <w:unhideWhenUsed/>
    <w:qFormat/>
    <w:rsid w:val="00121CF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erschrift9">
    <w:name w:val="heading 9"/>
    <w:basedOn w:val="Standard"/>
    <w:next w:val="Standard"/>
    <w:link w:val="berschrift9Zchn"/>
    <w:uiPriority w:val="9"/>
    <w:semiHidden/>
    <w:unhideWhenUsed/>
    <w:qFormat/>
    <w:rsid w:val="00121CF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21CF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21CF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21CF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21CF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21CF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21CF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21CF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21CF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21CF2"/>
    <w:rPr>
      <w:rFonts w:eastAsiaTheme="majorEastAsia" w:cstheme="majorBidi"/>
      <w:color w:val="272727" w:themeColor="text1" w:themeTint="D8"/>
    </w:rPr>
  </w:style>
  <w:style w:type="paragraph" w:styleId="Titel">
    <w:name w:val="Title"/>
    <w:basedOn w:val="Standard"/>
    <w:next w:val="Standard"/>
    <w:link w:val="TitelZchn"/>
    <w:uiPriority w:val="10"/>
    <w:qFormat/>
    <w:rsid w:val="00121CF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121CF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21CF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121CF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21CF2"/>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ZitatZchn">
    <w:name w:val="Zitat Zchn"/>
    <w:basedOn w:val="Absatz-Standardschriftart"/>
    <w:link w:val="Zitat"/>
    <w:uiPriority w:val="29"/>
    <w:rsid w:val="00121CF2"/>
    <w:rPr>
      <w:i/>
      <w:iCs/>
      <w:color w:val="404040" w:themeColor="text1" w:themeTint="BF"/>
    </w:rPr>
  </w:style>
  <w:style w:type="paragraph" w:styleId="Listenabsatz">
    <w:name w:val="List Paragraph"/>
    <w:basedOn w:val="Standard"/>
    <w:uiPriority w:val="34"/>
    <w:qFormat/>
    <w:rsid w:val="00121CF2"/>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iveHervorhebung">
    <w:name w:val="Intense Emphasis"/>
    <w:basedOn w:val="Absatz-Standardschriftart"/>
    <w:uiPriority w:val="21"/>
    <w:qFormat/>
    <w:rsid w:val="00121CF2"/>
    <w:rPr>
      <w:i/>
      <w:iCs/>
      <w:color w:val="0F4761" w:themeColor="accent1" w:themeShade="BF"/>
    </w:rPr>
  </w:style>
  <w:style w:type="paragraph" w:styleId="IntensivesZitat">
    <w:name w:val="Intense Quote"/>
    <w:basedOn w:val="Standard"/>
    <w:next w:val="Standard"/>
    <w:link w:val="IntensivesZitatZchn"/>
    <w:uiPriority w:val="30"/>
    <w:qFormat/>
    <w:rsid w:val="00121CF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ivesZitatZchn">
    <w:name w:val="Intensives Zitat Zchn"/>
    <w:basedOn w:val="Absatz-Standardschriftart"/>
    <w:link w:val="IntensivesZitat"/>
    <w:uiPriority w:val="30"/>
    <w:rsid w:val="00121CF2"/>
    <w:rPr>
      <w:i/>
      <w:iCs/>
      <w:color w:val="0F4761" w:themeColor="accent1" w:themeShade="BF"/>
    </w:rPr>
  </w:style>
  <w:style w:type="character" w:styleId="IntensiverVerweis">
    <w:name w:val="Intense Reference"/>
    <w:basedOn w:val="Absatz-Standardschriftart"/>
    <w:uiPriority w:val="32"/>
    <w:qFormat/>
    <w:rsid w:val="00121CF2"/>
    <w:rPr>
      <w:b/>
      <w:bCs/>
      <w:smallCaps/>
      <w:color w:val="0F4761" w:themeColor="accent1" w:themeShade="BF"/>
      <w:spacing w:val="5"/>
    </w:rPr>
  </w:style>
  <w:style w:type="character" w:styleId="Hyperlink">
    <w:name w:val="Hyperlink"/>
    <w:basedOn w:val="Absatz-Standardschriftart"/>
    <w:uiPriority w:val="99"/>
    <w:unhideWhenUsed/>
    <w:rsid w:val="00703609"/>
    <w:rPr>
      <w:color w:val="467886" w:themeColor="hyperlink"/>
      <w:u w:val="single"/>
    </w:rPr>
  </w:style>
  <w:style w:type="character" w:styleId="NichtaufgelsteErwhnung">
    <w:name w:val="Unresolved Mention"/>
    <w:basedOn w:val="Absatz-Standardschriftart"/>
    <w:uiPriority w:val="99"/>
    <w:semiHidden/>
    <w:unhideWhenUsed/>
    <w:rsid w:val="00703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293058">
      <w:bodyDiv w:val="1"/>
      <w:marLeft w:val="0"/>
      <w:marRight w:val="0"/>
      <w:marTop w:val="0"/>
      <w:marBottom w:val="0"/>
      <w:divBdr>
        <w:top w:val="none" w:sz="0" w:space="0" w:color="auto"/>
        <w:left w:val="none" w:sz="0" w:space="0" w:color="auto"/>
        <w:bottom w:val="none" w:sz="0" w:space="0" w:color="auto"/>
        <w:right w:val="none" w:sz="0" w:space="0" w:color="auto"/>
      </w:divBdr>
    </w:div>
    <w:div w:id="1772167097">
      <w:bodyDiv w:val="1"/>
      <w:marLeft w:val="0"/>
      <w:marRight w:val="0"/>
      <w:marTop w:val="0"/>
      <w:marBottom w:val="0"/>
      <w:divBdr>
        <w:top w:val="none" w:sz="0" w:space="0" w:color="auto"/>
        <w:left w:val="none" w:sz="0" w:space="0" w:color="auto"/>
        <w:bottom w:val="none" w:sz="0" w:space="0" w:color="auto"/>
        <w:right w:val="none" w:sz="0" w:space="0" w:color="auto"/>
      </w:divBdr>
    </w:div>
    <w:div w:id="1907718231">
      <w:bodyDiv w:val="1"/>
      <w:marLeft w:val="0"/>
      <w:marRight w:val="0"/>
      <w:marTop w:val="0"/>
      <w:marBottom w:val="0"/>
      <w:divBdr>
        <w:top w:val="none" w:sz="0" w:space="0" w:color="auto"/>
        <w:left w:val="none" w:sz="0" w:space="0" w:color="auto"/>
        <w:bottom w:val="none" w:sz="0" w:space="0" w:color="auto"/>
        <w:right w:val="none" w:sz="0" w:space="0" w:color="auto"/>
      </w:divBdr>
    </w:div>
    <w:div w:id="191797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ll-wattens.at" TargetMode="External"/><Relationship Id="rId5" Type="http://schemas.openxmlformats.org/officeDocument/2006/relationships/hyperlink" Target="mailto:v.rainer@hall-wattens.at" TargetMode="Externa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1311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Wielander</dc:creator>
  <cp:keywords/>
  <dc:description/>
  <cp:lastModifiedBy>Nina Wielander</cp:lastModifiedBy>
  <cp:revision>4</cp:revision>
  <dcterms:created xsi:type="dcterms:W3CDTF">2024-07-30T05:40:00Z</dcterms:created>
  <dcterms:modified xsi:type="dcterms:W3CDTF">2024-08-08T15:20:00Z</dcterms:modified>
</cp:coreProperties>
</file>