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3411" w14:textId="43C90F8E" w:rsidR="004E480A" w:rsidRPr="004E480A" w:rsidRDefault="004E480A" w:rsidP="000F17D1">
      <w:pPr>
        <w:rPr>
          <w:b/>
          <w:bCs/>
          <w:sz w:val="36"/>
          <w:szCs w:val="36"/>
          <w:lang w:val="de-DE"/>
        </w:rPr>
      </w:pPr>
      <w:r w:rsidRPr="004E480A">
        <w:rPr>
          <w:b/>
          <w:bCs/>
          <w:sz w:val="36"/>
          <w:szCs w:val="36"/>
          <w:lang w:val="de-DE"/>
        </w:rPr>
        <w:t>Innsbruck Tourismus: Vollversammlung bestätigt Erhöhung der Aufenthaltsabgabe zur Umsetzung der Strategie „Region Innsbruck ERLEBENSWERT 2030“</w:t>
      </w:r>
    </w:p>
    <w:p w14:paraId="23194A5C" w14:textId="77777777" w:rsidR="004E480A" w:rsidRDefault="004E480A" w:rsidP="000F17D1">
      <w:pPr>
        <w:rPr>
          <w:b/>
          <w:bCs/>
          <w:sz w:val="24"/>
          <w:szCs w:val="24"/>
          <w:lang w:val="de-DE"/>
        </w:rPr>
      </w:pPr>
    </w:p>
    <w:p w14:paraId="491B4B40" w14:textId="43883B54" w:rsidR="000F17D1" w:rsidRPr="007D77B7" w:rsidRDefault="000F17D1" w:rsidP="000F17D1">
      <w:pPr>
        <w:rPr>
          <w:sz w:val="24"/>
          <w:szCs w:val="24"/>
          <w:lang w:val="de-DE"/>
        </w:rPr>
      </w:pPr>
      <w:r>
        <w:rPr>
          <w:b/>
          <w:bCs/>
          <w:sz w:val="24"/>
          <w:szCs w:val="24"/>
          <w:lang w:val="de-DE"/>
        </w:rPr>
        <w:t xml:space="preserve">Am 26. November 2024 fand im </w:t>
      </w:r>
      <w:proofErr w:type="spellStart"/>
      <w:r>
        <w:rPr>
          <w:b/>
          <w:bCs/>
          <w:sz w:val="24"/>
          <w:szCs w:val="24"/>
          <w:lang w:val="de-DE"/>
        </w:rPr>
        <w:t>Congresspark</w:t>
      </w:r>
      <w:proofErr w:type="spellEnd"/>
      <w:r>
        <w:rPr>
          <w:b/>
          <w:bCs/>
          <w:sz w:val="24"/>
          <w:szCs w:val="24"/>
          <w:lang w:val="de-DE"/>
        </w:rPr>
        <w:t xml:space="preserve"> Igls die Vollversammlung von Innsbruck Tourismus statt. </w:t>
      </w:r>
      <w:r w:rsidR="007D77B7">
        <w:rPr>
          <w:b/>
          <w:bCs/>
          <w:sz w:val="24"/>
          <w:szCs w:val="24"/>
          <w:lang w:val="de-DE"/>
        </w:rPr>
        <w:t xml:space="preserve">Von rund 300 anwesenden </w:t>
      </w:r>
      <w:proofErr w:type="spellStart"/>
      <w:r w:rsidR="007D77B7">
        <w:rPr>
          <w:b/>
          <w:bCs/>
          <w:sz w:val="24"/>
          <w:szCs w:val="24"/>
          <w:lang w:val="de-DE"/>
        </w:rPr>
        <w:t>Mitglieder</w:t>
      </w:r>
      <w:r w:rsidR="00D44711">
        <w:rPr>
          <w:b/>
          <w:bCs/>
          <w:sz w:val="24"/>
          <w:szCs w:val="24"/>
          <w:lang w:val="de-DE"/>
        </w:rPr>
        <w:t>:inne</w:t>
      </w:r>
      <w:r w:rsidR="007D77B7">
        <w:rPr>
          <w:b/>
          <w:bCs/>
          <w:sz w:val="24"/>
          <w:szCs w:val="24"/>
          <w:lang w:val="de-DE"/>
        </w:rPr>
        <w:t>n</w:t>
      </w:r>
      <w:proofErr w:type="spellEnd"/>
      <w:r w:rsidR="007D77B7">
        <w:rPr>
          <w:b/>
          <w:bCs/>
          <w:sz w:val="24"/>
          <w:szCs w:val="24"/>
          <w:lang w:val="de-DE"/>
        </w:rPr>
        <w:t xml:space="preserve"> </w:t>
      </w:r>
      <w:r>
        <w:rPr>
          <w:b/>
          <w:bCs/>
          <w:sz w:val="24"/>
          <w:szCs w:val="24"/>
          <w:lang w:val="de-DE"/>
        </w:rPr>
        <w:t>beschloss</w:t>
      </w:r>
      <w:r w:rsidR="007D77B7">
        <w:rPr>
          <w:b/>
          <w:bCs/>
          <w:sz w:val="24"/>
          <w:szCs w:val="24"/>
          <w:lang w:val="de-DE"/>
        </w:rPr>
        <w:t xml:space="preserve"> eine große Mehrheit</w:t>
      </w:r>
      <w:r>
        <w:rPr>
          <w:b/>
          <w:bCs/>
          <w:sz w:val="24"/>
          <w:szCs w:val="24"/>
          <w:lang w:val="de-DE"/>
        </w:rPr>
        <w:t xml:space="preserve"> </w:t>
      </w:r>
      <w:r w:rsidR="007D77B7">
        <w:rPr>
          <w:b/>
          <w:bCs/>
          <w:sz w:val="24"/>
          <w:szCs w:val="24"/>
          <w:lang w:val="de-DE"/>
        </w:rPr>
        <w:t xml:space="preserve">die </w:t>
      </w:r>
      <w:r>
        <w:rPr>
          <w:b/>
          <w:bCs/>
          <w:sz w:val="24"/>
          <w:szCs w:val="24"/>
          <w:lang w:val="de-DE"/>
        </w:rPr>
        <w:t xml:space="preserve">zweistufige Anhebung der Aufenthaltsabgabe auf drei Euro im Mai 2025 und vier Euro ab Mai 2026. Zudem </w:t>
      </w:r>
      <w:r w:rsidR="003B1E45">
        <w:rPr>
          <w:b/>
          <w:bCs/>
          <w:sz w:val="24"/>
          <w:szCs w:val="24"/>
          <w:lang w:val="de-DE"/>
        </w:rPr>
        <w:t xml:space="preserve">wurde </w:t>
      </w:r>
      <w:r>
        <w:rPr>
          <w:b/>
          <w:bCs/>
          <w:sz w:val="24"/>
          <w:szCs w:val="24"/>
          <w:lang w:val="de-DE"/>
        </w:rPr>
        <w:t xml:space="preserve">auch die neue Strategie „Region Innsbruck </w:t>
      </w:r>
      <w:r w:rsidRPr="003B1E45">
        <w:rPr>
          <w:sz w:val="24"/>
          <w:szCs w:val="24"/>
          <w:lang w:val="de-DE"/>
        </w:rPr>
        <w:t>ER</w:t>
      </w:r>
      <w:r>
        <w:rPr>
          <w:b/>
          <w:bCs/>
          <w:sz w:val="24"/>
          <w:szCs w:val="24"/>
          <w:lang w:val="de-DE"/>
        </w:rPr>
        <w:t xml:space="preserve">LEBENSWERT“ </w:t>
      </w:r>
      <w:r w:rsidR="003B1E45">
        <w:rPr>
          <w:b/>
          <w:bCs/>
          <w:sz w:val="24"/>
          <w:szCs w:val="24"/>
          <w:lang w:val="de-DE"/>
        </w:rPr>
        <w:t>präsentiert</w:t>
      </w:r>
      <w:r>
        <w:rPr>
          <w:b/>
          <w:bCs/>
          <w:sz w:val="24"/>
          <w:szCs w:val="24"/>
          <w:lang w:val="de-DE"/>
        </w:rPr>
        <w:t xml:space="preserve">, die im Vorjahr in einem partizipativen Prozess erarbeitet wurde. Die Steigerung </w:t>
      </w:r>
      <w:r w:rsidR="007D77B7">
        <w:rPr>
          <w:b/>
          <w:bCs/>
          <w:sz w:val="24"/>
          <w:szCs w:val="24"/>
          <w:lang w:val="de-DE"/>
        </w:rPr>
        <w:t>von</w:t>
      </w:r>
      <w:r>
        <w:rPr>
          <w:b/>
          <w:bCs/>
          <w:sz w:val="24"/>
          <w:szCs w:val="24"/>
          <w:lang w:val="de-DE"/>
        </w:rPr>
        <w:t xml:space="preserve"> Aufenthaltsdauer, Auslastung</w:t>
      </w:r>
      <w:r w:rsidR="007D77B7">
        <w:rPr>
          <w:b/>
          <w:bCs/>
          <w:sz w:val="24"/>
          <w:szCs w:val="24"/>
          <w:lang w:val="de-DE"/>
        </w:rPr>
        <w:t xml:space="preserve"> und </w:t>
      </w:r>
      <w:r>
        <w:rPr>
          <w:b/>
          <w:bCs/>
          <w:sz w:val="24"/>
          <w:szCs w:val="24"/>
          <w:lang w:val="de-DE"/>
        </w:rPr>
        <w:t xml:space="preserve">Wertschöpfung, aber auch </w:t>
      </w:r>
      <w:r w:rsidR="00956FAA">
        <w:rPr>
          <w:b/>
          <w:bCs/>
          <w:sz w:val="24"/>
          <w:szCs w:val="24"/>
          <w:lang w:val="de-DE"/>
        </w:rPr>
        <w:t>der</w:t>
      </w:r>
      <w:r>
        <w:rPr>
          <w:b/>
          <w:bCs/>
          <w:sz w:val="24"/>
          <w:szCs w:val="24"/>
          <w:lang w:val="de-DE"/>
        </w:rPr>
        <w:t xml:space="preserve"> Qualität des Lebensraums für Einheimische und Gäste stehen im Mittelpunkt. Die Strategie sieht ein Investitionsprogramm von über 25 Millionen Euro in die Freizeitinfrastruktur in den nächsten zehn Jahre</w:t>
      </w:r>
      <w:r w:rsidR="007D77B7">
        <w:rPr>
          <w:b/>
          <w:bCs/>
          <w:sz w:val="24"/>
          <w:szCs w:val="24"/>
          <w:lang w:val="de-DE"/>
        </w:rPr>
        <w:t>n</w:t>
      </w:r>
      <w:r>
        <w:rPr>
          <w:b/>
          <w:bCs/>
          <w:sz w:val="24"/>
          <w:szCs w:val="24"/>
          <w:lang w:val="de-DE"/>
        </w:rPr>
        <w:t xml:space="preserve"> vor – zudem sind 15 Millionen Euro für nachhaltige Mobilitätslösungen budgetiert. </w:t>
      </w:r>
    </w:p>
    <w:p w14:paraId="3722B4F6" w14:textId="77777777" w:rsidR="000F17D1" w:rsidRDefault="000F17D1" w:rsidP="000F17D1">
      <w:pPr>
        <w:rPr>
          <w:sz w:val="24"/>
          <w:szCs w:val="24"/>
          <w:lang w:val="de-DE"/>
        </w:rPr>
      </w:pPr>
    </w:p>
    <w:p w14:paraId="49850B9F" w14:textId="1369AE61" w:rsidR="000F17D1" w:rsidRDefault="000F17D1" w:rsidP="000F17D1">
      <w:pPr>
        <w:rPr>
          <w:sz w:val="24"/>
          <w:szCs w:val="24"/>
          <w:lang w:val="de-DE"/>
        </w:rPr>
      </w:pPr>
      <w:r>
        <w:rPr>
          <w:sz w:val="24"/>
          <w:szCs w:val="24"/>
          <w:lang w:val="de-DE"/>
        </w:rPr>
        <w:t>Innsbruck Tourismus blickt auf ein erfolgreiches Tourismusjahr 2023/24 zurück. Die Zahl der Ankünfte stieg auf 1.638.743, was einem Zuwachs von 9 % im Vergleich zum Vorjahr entspricht. Auch bei den Nächtigungen wurde ein Plus von 4,7 % registriert, das ergibt insgesamt 3.596.166 Übernachtungen</w:t>
      </w:r>
      <w:r w:rsidR="00D11E8E">
        <w:rPr>
          <w:sz w:val="24"/>
          <w:szCs w:val="24"/>
          <w:lang w:val="de-DE"/>
        </w:rPr>
        <w:t xml:space="preserve"> – die Betten</w:t>
      </w:r>
      <w:r w:rsidR="00091FCC">
        <w:rPr>
          <w:sz w:val="24"/>
          <w:szCs w:val="24"/>
          <w:lang w:val="de-DE"/>
        </w:rPr>
        <w:t>anzahl verzeichnete ein geringeres Wachstum, was auf eine bessere Auslastung schließen lässt</w:t>
      </w:r>
      <w:r>
        <w:rPr>
          <w:sz w:val="24"/>
          <w:szCs w:val="24"/>
          <w:lang w:val="de-DE"/>
        </w:rPr>
        <w:t xml:space="preserve">. Die durchschnittliche Aufenthaltsdauer ging hingegen leicht um 3,9 % auf 2,2 Nächte zurück. </w:t>
      </w:r>
    </w:p>
    <w:p w14:paraId="101BACD4" w14:textId="77777777" w:rsidR="000F17D1" w:rsidRDefault="000F17D1" w:rsidP="000F17D1">
      <w:pPr>
        <w:rPr>
          <w:b/>
          <w:bCs/>
          <w:sz w:val="24"/>
          <w:szCs w:val="24"/>
          <w:lang w:val="de-DE"/>
        </w:rPr>
      </w:pPr>
    </w:p>
    <w:p w14:paraId="10C2013B" w14:textId="77777777" w:rsidR="000F17D1" w:rsidRDefault="000F17D1" w:rsidP="000F17D1">
      <w:pPr>
        <w:rPr>
          <w:b/>
          <w:bCs/>
          <w:sz w:val="24"/>
          <w:szCs w:val="24"/>
          <w:lang w:val="de-DE"/>
        </w:rPr>
      </w:pPr>
      <w:r>
        <w:rPr>
          <w:b/>
          <w:bCs/>
          <w:sz w:val="24"/>
          <w:szCs w:val="24"/>
          <w:lang w:val="de-DE"/>
        </w:rPr>
        <w:t>Steigerung der Aufenthaltsdauer: Auftrag zum Handeln</w:t>
      </w:r>
    </w:p>
    <w:p w14:paraId="7DB60175" w14:textId="7A323262" w:rsidR="000F17D1" w:rsidRDefault="000F17D1" w:rsidP="000F17D1">
      <w:pPr>
        <w:rPr>
          <w:sz w:val="24"/>
          <w:szCs w:val="24"/>
          <w:lang w:val="de-DE"/>
        </w:rPr>
      </w:pPr>
      <w:r>
        <w:rPr>
          <w:sz w:val="24"/>
          <w:szCs w:val="24"/>
          <w:lang w:val="de-DE"/>
        </w:rPr>
        <w:t xml:space="preserve">Obmann </w:t>
      </w:r>
      <w:r>
        <w:rPr>
          <w:b/>
          <w:bCs/>
          <w:sz w:val="24"/>
          <w:szCs w:val="24"/>
          <w:lang w:val="de-DE"/>
        </w:rPr>
        <w:t xml:space="preserve">Peter Paul Mölk </w:t>
      </w:r>
      <w:r>
        <w:rPr>
          <w:sz w:val="24"/>
          <w:szCs w:val="24"/>
          <w:lang w:val="de-DE"/>
        </w:rPr>
        <w:t>sieht einen klaren Auftrag und eine Bestätigung für die neue Strategie: „Gezielte Produkt- und Angebotsentwicklungen rücken die ganzjährige Erhöhung der Aufenthaltsdauer in den Fokus, die Auslastung unserer Beherbergungsbetriebe soll vor allem im Winter verbessert werden. Unsere Top-Projekte ‚Bergweihnacht und Bergwinter‘ haben beispielsweise viel Potential, um wirksame Impulse zur Stärkung der Wintersaison und Wettbewerbsfähigkeit mit Effekten zur Steigerung der Wertschöpfung in der Region auszulösen.“</w:t>
      </w:r>
    </w:p>
    <w:p w14:paraId="4A62DB37" w14:textId="760D47D9" w:rsidR="000F17D1" w:rsidRDefault="000F17D1" w:rsidP="000F17D1">
      <w:pPr>
        <w:rPr>
          <w:sz w:val="24"/>
          <w:szCs w:val="24"/>
          <w:lang w:val="de-DE"/>
        </w:rPr>
      </w:pPr>
      <w:r>
        <w:rPr>
          <w:sz w:val="24"/>
          <w:szCs w:val="24"/>
          <w:lang w:val="de-DE"/>
        </w:rPr>
        <w:t xml:space="preserve">Auch </w:t>
      </w:r>
      <w:r>
        <w:rPr>
          <w:b/>
          <w:bCs/>
          <w:sz w:val="24"/>
          <w:szCs w:val="24"/>
          <w:lang w:val="de-DE"/>
        </w:rPr>
        <w:t>Barbara Plattner</w:t>
      </w:r>
      <w:r>
        <w:rPr>
          <w:sz w:val="24"/>
          <w:szCs w:val="24"/>
          <w:lang w:val="de-DE"/>
        </w:rPr>
        <w:t xml:space="preserve">, Geschäftsführerin von Innsbruck Tourismus, ist von der Gestaltungskraft des Tourismus überzeugt: „Im Rahmen unserer Zukunftsstrategie werden wir unsere sechs </w:t>
      </w:r>
      <w:r w:rsidR="00956FAA" w:rsidRPr="00956FAA">
        <w:rPr>
          <w:sz w:val="24"/>
          <w:szCs w:val="24"/>
          <w:lang w:val="de-DE"/>
        </w:rPr>
        <w:t>Erlebnisr</w:t>
      </w:r>
      <w:r w:rsidRPr="00956FAA">
        <w:rPr>
          <w:sz w:val="24"/>
          <w:szCs w:val="24"/>
          <w:lang w:val="de-DE"/>
        </w:rPr>
        <w:t>egionen</w:t>
      </w:r>
      <w:r>
        <w:rPr>
          <w:sz w:val="24"/>
          <w:szCs w:val="24"/>
          <w:lang w:val="de-DE"/>
        </w:rPr>
        <w:t xml:space="preserve"> mit dem urbanen Zentrum Innsbruck als anziehenden Lebensraum und Urlaubsdestination durch ein gezieltes Investitionsprogramm in die Freizeitinfrastruktur aufwerten.</w:t>
      </w:r>
      <w:r w:rsidR="00310E1F">
        <w:rPr>
          <w:sz w:val="24"/>
          <w:szCs w:val="24"/>
          <w:lang w:val="de-DE"/>
        </w:rPr>
        <w:t xml:space="preserve"> Davon profitiert nicht nur der Tourismus, sondern alle Branchen.</w:t>
      </w:r>
      <w:r>
        <w:rPr>
          <w:sz w:val="24"/>
          <w:szCs w:val="24"/>
          <w:lang w:val="de-DE"/>
        </w:rPr>
        <w:t>“ Konkret sollen mindestens 25 Mi</w:t>
      </w:r>
      <w:r w:rsidR="007D77B7">
        <w:rPr>
          <w:sz w:val="24"/>
          <w:szCs w:val="24"/>
          <w:lang w:val="de-DE"/>
        </w:rPr>
        <w:t>llionen Euro</w:t>
      </w:r>
      <w:r>
        <w:rPr>
          <w:sz w:val="24"/>
          <w:szCs w:val="24"/>
          <w:lang w:val="de-DE"/>
        </w:rPr>
        <w:t xml:space="preserve"> in den nächsten </w:t>
      </w:r>
      <w:r w:rsidR="00956FAA">
        <w:rPr>
          <w:sz w:val="24"/>
          <w:szCs w:val="24"/>
          <w:lang w:val="de-DE"/>
        </w:rPr>
        <w:t>zehn</w:t>
      </w:r>
      <w:r>
        <w:rPr>
          <w:sz w:val="24"/>
          <w:szCs w:val="24"/>
          <w:lang w:val="de-DE"/>
        </w:rPr>
        <w:t xml:space="preserve"> Jahren in diese Qualitätsoffensive fließen. </w:t>
      </w:r>
    </w:p>
    <w:p w14:paraId="4D80B49B" w14:textId="77777777" w:rsidR="000F17D1" w:rsidRDefault="000F17D1" w:rsidP="000F17D1">
      <w:pPr>
        <w:rPr>
          <w:b/>
          <w:bCs/>
          <w:sz w:val="24"/>
          <w:szCs w:val="24"/>
          <w:lang w:val="de-DE"/>
        </w:rPr>
      </w:pPr>
    </w:p>
    <w:p w14:paraId="5D9D802A" w14:textId="77777777" w:rsidR="000F17D1" w:rsidRDefault="000F17D1" w:rsidP="000F17D1">
      <w:pPr>
        <w:rPr>
          <w:b/>
          <w:bCs/>
          <w:sz w:val="24"/>
          <w:szCs w:val="24"/>
          <w:lang w:val="de-DE"/>
        </w:rPr>
      </w:pPr>
      <w:r>
        <w:rPr>
          <w:b/>
          <w:bCs/>
          <w:sz w:val="24"/>
          <w:szCs w:val="24"/>
          <w:lang w:val="de-DE"/>
        </w:rPr>
        <w:t>Gezielte Investitionen in Infrastruktur &amp; Mobilität</w:t>
      </w:r>
    </w:p>
    <w:p w14:paraId="7E4AADA3" w14:textId="63037D70" w:rsidR="000F17D1" w:rsidRDefault="000F17D1" w:rsidP="000F17D1">
      <w:pPr>
        <w:rPr>
          <w:sz w:val="24"/>
          <w:szCs w:val="24"/>
          <w:lang w:val="de-DE"/>
        </w:rPr>
      </w:pPr>
      <w:r>
        <w:rPr>
          <w:sz w:val="24"/>
          <w:szCs w:val="24"/>
          <w:lang w:val="de-DE"/>
        </w:rPr>
        <w:t xml:space="preserve">Zudem, so Plattner, soll das internationale Alleinstellungsmerkmal der Region – die Verbindung von Stadt und Berg – weiter forciert und beides noch näher zusammengebracht </w:t>
      </w:r>
      <w:r>
        <w:rPr>
          <w:sz w:val="24"/>
          <w:szCs w:val="24"/>
          <w:lang w:val="de-DE"/>
        </w:rPr>
        <w:lastRenderedPageBreak/>
        <w:t>werden. Plattner dazu: „Wir wollen nicht nur die Stadt der kurzen Wege sein, sondern die Region der kurzen Wege. Dafür sehen wir 15 Mi</w:t>
      </w:r>
      <w:r w:rsidR="002E1814">
        <w:rPr>
          <w:sz w:val="24"/>
          <w:szCs w:val="24"/>
          <w:lang w:val="de-DE"/>
        </w:rPr>
        <w:t>llionen Euro</w:t>
      </w:r>
      <w:r>
        <w:rPr>
          <w:sz w:val="24"/>
          <w:szCs w:val="24"/>
          <w:lang w:val="de-DE"/>
        </w:rPr>
        <w:t xml:space="preserve"> innerhalb der nächsten fünf Jahre vor, um nachhaltige Mobilitätslösungen für Gäste und </w:t>
      </w:r>
      <w:proofErr w:type="spellStart"/>
      <w:r>
        <w:rPr>
          <w:sz w:val="24"/>
          <w:szCs w:val="24"/>
          <w:lang w:val="de-DE"/>
        </w:rPr>
        <w:t>Bewohner:innen</w:t>
      </w:r>
      <w:proofErr w:type="spellEnd"/>
      <w:r>
        <w:rPr>
          <w:sz w:val="24"/>
          <w:szCs w:val="24"/>
          <w:lang w:val="de-DE"/>
        </w:rPr>
        <w:t xml:space="preserve"> zu schaffen.“ Gemeinsam wolle man die Region Innsbruck im In- und Ausland zur alpinen „Love-Brand“ aufbauen und sich langfristig unter den Top-</w:t>
      </w:r>
      <w:r w:rsidR="00956FAA">
        <w:rPr>
          <w:sz w:val="24"/>
          <w:szCs w:val="24"/>
          <w:lang w:val="de-DE"/>
        </w:rPr>
        <w:t>Drei</w:t>
      </w:r>
      <w:r>
        <w:rPr>
          <w:sz w:val="24"/>
          <w:szCs w:val="24"/>
          <w:lang w:val="de-DE"/>
        </w:rPr>
        <w:t xml:space="preserve"> des renommierten </w:t>
      </w:r>
      <w:proofErr w:type="spellStart"/>
      <w:r>
        <w:rPr>
          <w:sz w:val="24"/>
          <w:szCs w:val="24"/>
        </w:rPr>
        <w:t>Monocle’s</w:t>
      </w:r>
      <w:proofErr w:type="spellEnd"/>
      <w:r>
        <w:rPr>
          <w:sz w:val="24"/>
          <w:szCs w:val="24"/>
        </w:rPr>
        <w:t xml:space="preserve"> Small Cities Index platzieren.</w:t>
      </w:r>
    </w:p>
    <w:p w14:paraId="11F43304" w14:textId="77777777" w:rsidR="000F17D1" w:rsidRDefault="000F17D1" w:rsidP="000F17D1">
      <w:pPr>
        <w:rPr>
          <w:b/>
          <w:bCs/>
          <w:sz w:val="24"/>
          <w:szCs w:val="24"/>
          <w:lang w:val="de-DE"/>
        </w:rPr>
      </w:pPr>
    </w:p>
    <w:p w14:paraId="6055CA09" w14:textId="77777777" w:rsidR="000F17D1" w:rsidRDefault="000F17D1" w:rsidP="000F17D1">
      <w:pPr>
        <w:rPr>
          <w:b/>
          <w:bCs/>
          <w:sz w:val="24"/>
          <w:szCs w:val="24"/>
          <w:lang w:val="de-DE"/>
        </w:rPr>
      </w:pPr>
      <w:r>
        <w:rPr>
          <w:b/>
          <w:bCs/>
          <w:sz w:val="24"/>
          <w:szCs w:val="24"/>
          <w:lang w:val="de-DE"/>
        </w:rPr>
        <w:t>Lebensqualität der gesamten Region im Fokus</w:t>
      </w:r>
    </w:p>
    <w:p w14:paraId="5634B434" w14:textId="17F0162B" w:rsidR="000F17D1" w:rsidRDefault="000F17D1" w:rsidP="000F17D1">
      <w:pPr>
        <w:rPr>
          <w:sz w:val="24"/>
          <w:szCs w:val="24"/>
          <w:lang w:val="de-DE"/>
        </w:rPr>
      </w:pPr>
      <w:r>
        <w:rPr>
          <w:sz w:val="24"/>
          <w:szCs w:val="24"/>
          <w:lang w:val="de-DE"/>
        </w:rPr>
        <w:t>Getragen ist die neue Strategie auch vom Bewusstsein, wie viel der Tourismus immer schon für die Region Innsbruck und die Lebensqualität der Bevölkerung geleistet hat</w:t>
      </w:r>
      <w:r w:rsidR="00956FAA">
        <w:rPr>
          <w:sz w:val="24"/>
          <w:szCs w:val="24"/>
          <w:lang w:val="de-DE"/>
        </w:rPr>
        <w:t>,</w:t>
      </w:r>
      <w:r w:rsidR="00781353">
        <w:rPr>
          <w:sz w:val="24"/>
          <w:szCs w:val="24"/>
          <w:lang w:val="de-DE"/>
        </w:rPr>
        <w:t xml:space="preserve"> und davon, dass es nötig ist, Herausforderungen, die durch den Tourismus entstehen, auch proaktiv anzugehen</w:t>
      </w:r>
      <w:r>
        <w:rPr>
          <w:sz w:val="24"/>
          <w:szCs w:val="24"/>
          <w:lang w:val="de-DE"/>
        </w:rPr>
        <w:t xml:space="preserve">. „In diesem Sinne ist die Unterscheidung von </w:t>
      </w:r>
      <w:proofErr w:type="spellStart"/>
      <w:r>
        <w:rPr>
          <w:sz w:val="24"/>
          <w:szCs w:val="24"/>
          <w:lang w:val="de-DE"/>
        </w:rPr>
        <w:t>Urlauber</w:t>
      </w:r>
      <w:r w:rsidR="00D60D60">
        <w:rPr>
          <w:sz w:val="24"/>
          <w:szCs w:val="24"/>
          <w:lang w:val="de-DE"/>
        </w:rPr>
        <w:t>:inne</w:t>
      </w:r>
      <w:r>
        <w:rPr>
          <w:sz w:val="24"/>
          <w:szCs w:val="24"/>
          <w:lang w:val="de-DE"/>
        </w:rPr>
        <w:t>n</w:t>
      </w:r>
      <w:proofErr w:type="spellEnd"/>
      <w:r>
        <w:rPr>
          <w:sz w:val="24"/>
          <w:szCs w:val="24"/>
          <w:lang w:val="de-DE"/>
        </w:rPr>
        <w:t xml:space="preserve"> und den in der Region lebenden Menschen nicht mehr zeitgemäß. Viele unserer geplanten Maßnahmen kommen Einheimischen wie Gästen gleichermaßen zugute“, betont Plattner. „Es geht um Steigerung der Lebensqualität, den Erhalt der Freizeitinfrastruktur und der Erlebnisvielfalt in unserem einzigartigen alpinen Raum. Über die Hälfte der Tourismusmittel werden direkt in der Region</w:t>
      </w:r>
      <w:r w:rsidR="002463BF">
        <w:rPr>
          <w:sz w:val="24"/>
          <w:szCs w:val="24"/>
          <w:lang w:val="de-DE"/>
        </w:rPr>
        <w:t xml:space="preserve"> in Infrastruktur, Leistungen und Veranstaltungen</w:t>
      </w:r>
      <w:r>
        <w:rPr>
          <w:sz w:val="24"/>
          <w:szCs w:val="24"/>
          <w:lang w:val="de-DE"/>
        </w:rPr>
        <w:t xml:space="preserve"> reinvestiert.“</w:t>
      </w:r>
      <w:r w:rsidR="001F030B">
        <w:rPr>
          <w:sz w:val="24"/>
          <w:szCs w:val="24"/>
          <w:lang w:val="de-DE"/>
        </w:rPr>
        <w:t xml:space="preserve"> </w:t>
      </w:r>
    </w:p>
    <w:p w14:paraId="3EF20F2D" w14:textId="77777777" w:rsidR="000F17D1" w:rsidRDefault="000F17D1" w:rsidP="000F17D1">
      <w:pPr>
        <w:rPr>
          <w:b/>
          <w:bCs/>
          <w:sz w:val="24"/>
          <w:szCs w:val="24"/>
          <w:lang w:val="de-DE"/>
        </w:rPr>
      </w:pPr>
    </w:p>
    <w:p w14:paraId="673CF47B" w14:textId="77777777" w:rsidR="000F17D1" w:rsidRDefault="000F17D1" w:rsidP="000F17D1">
      <w:pPr>
        <w:rPr>
          <w:b/>
          <w:bCs/>
          <w:sz w:val="24"/>
          <w:szCs w:val="24"/>
          <w:lang w:val="de-DE"/>
        </w:rPr>
      </w:pPr>
      <w:r>
        <w:rPr>
          <w:b/>
          <w:bCs/>
          <w:sz w:val="24"/>
          <w:szCs w:val="24"/>
          <w:lang w:val="de-DE"/>
        </w:rPr>
        <w:t>Solide Basis für Zukunftsprogramm</w:t>
      </w:r>
    </w:p>
    <w:p w14:paraId="287C094C" w14:textId="7A70257E" w:rsidR="000F17D1" w:rsidRDefault="000F17D1" w:rsidP="000F17D1">
      <w:pPr>
        <w:rPr>
          <w:sz w:val="24"/>
          <w:szCs w:val="24"/>
          <w:lang w:val="de-DE"/>
        </w:rPr>
      </w:pPr>
      <w:r>
        <w:rPr>
          <w:sz w:val="24"/>
          <w:szCs w:val="24"/>
          <w:lang w:val="de-DE"/>
        </w:rPr>
        <w:t xml:space="preserve">Die Anhebung der Aufenthaltsabgabe in zwei Schritten – auf drei Euro im Mai 2025 und auf vier Euro </w:t>
      </w:r>
      <w:r w:rsidR="00DA1871">
        <w:rPr>
          <w:sz w:val="24"/>
          <w:szCs w:val="24"/>
          <w:lang w:val="de-DE"/>
        </w:rPr>
        <w:t>im M</w:t>
      </w:r>
      <w:r>
        <w:rPr>
          <w:sz w:val="24"/>
          <w:szCs w:val="24"/>
          <w:lang w:val="de-DE"/>
        </w:rPr>
        <w:t>ai 2026 – fand bei der Vollversammlung</w:t>
      </w:r>
      <w:r w:rsidR="002762EC">
        <w:rPr>
          <w:sz w:val="24"/>
          <w:szCs w:val="24"/>
          <w:lang w:val="de-DE"/>
        </w:rPr>
        <w:t xml:space="preserve"> breite</w:t>
      </w:r>
      <w:r>
        <w:rPr>
          <w:sz w:val="24"/>
          <w:szCs w:val="24"/>
          <w:lang w:val="de-DE"/>
        </w:rPr>
        <w:t xml:space="preserve"> Unterstützung. Die allgemeine Teuerung, aber vor allem auch die Novelle der Tourismusfinanzierung, die für Innsbruck Tourismus erhebliche Mindereinnahmen bedeutet, hatten die Anpassung notwendig gemacht. „Mit einem Programm zur weiteren Effizienzsteigerung der Organisation und der Zustimmung zur Neuregelung der Aufenthaltsabgabe haben wir nun eine solide Basis für die notwendigen Investitionen. Das gemeinsam entwickelte Zukunftsbild braucht konsequent umgesetzte Maßnahmen, die jetzt starten können und deren Erfolg laufend anhand konkreter Kennzahlen gemessen w</w:t>
      </w:r>
      <w:r w:rsidR="00956FAA">
        <w:rPr>
          <w:sz w:val="24"/>
          <w:szCs w:val="24"/>
          <w:lang w:val="de-DE"/>
        </w:rPr>
        <w:t>ird</w:t>
      </w:r>
      <w:r>
        <w:rPr>
          <w:sz w:val="24"/>
          <w:szCs w:val="24"/>
          <w:lang w:val="de-DE"/>
        </w:rPr>
        <w:t>“</w:t>
      </w:r>
      <w:r w:rsidR="00956FAA">
        <w:rPr>
          <w:sz w:val="24"/>
          <w:szCs w:val="24"/>
          <w:lang w:val="de-DE"/>
        </w:rPr>
        <w:t>, fasst Plattner zusammen.</w:t>
      </w:r>
    </w:p>
    <w:p w14:paraId="07A36695" w14:textId="77777777" w:rsidR="0086190D" w:rsidRPr="00D45BE5" w:rsidRDefault="0086190D" w:rsidP="00D45BE5">
      <w:pPr>
        <w:rPr>
          <w:sz w:val="24"/>
          <w:szCs w:val="24"/>
          <w:lang w:val="de-DE"/>
        </w:rPr>
      </w:pPr>
    </w:p>
    <w:p w14:paraId="295BF440" w14:textId="2C39B582" w:rsidR="00D45BE5" w:rsidRPr="00D45BE5" w:rsidRDefault="00D45BE5" w:rsidP="00D45BE5">
      <w:pPr>
        <w:rPr>
          <w:sz w:val="24"/>
          <w:szCs w:val="24"/>
          <w:lang w:val="de-DE"/>
        </w:rPr>
      </w:pPr>
      <w:r w:rsidRPr="00D45BE5">
        <w:rPr>
          <w:sz w:val="24"/>
          <w:szCs w:val="24"/>
          <w:lang w:val="de-DE"/>
        </w:rPr>
        <w:t xml:space="preserve">Der diesjährige Geschäftsbericht ist unter </w:t>
      </w:r>
      <w:hyperlink r:id="rId10" w:history="1">
        <w:r w:rsidRPr="00D45BE5">
          <w:rPr>
            <w:color w:val="0070C0"/>
            <w:sz w:val="24"/>
            <w:szCs w:val="24"/>
            <w:u w:val="single"/>
            <w:lang w:val="de-DE"/>
          </w:rPr>
          <w:t>https://www.innsbruck.info/geschaeftsbericht24</w:t>
        </w:r>
      </w:hyperlink>
      <w:r w:rsidRPr="00D45BE5">
        <w:rPr>
          <w:color w:val="0070C0"/>
          <w:sz w:val="24"/>
          <w:szCs w:val="24"/>
          <w:lang w:val="de-DE"/>
        </w:rPr>
        <w:t xml:space="preserve"> </w:t>
      </w:r>
      <w:r w:rsidRPr="00D45BE5">
        <w:rPr>
          <w:sz w:val="24"/>
          <w:szCs w:val="24"/>
          <w:lang w:val="de-DE"/>
        </w:rPr>
        <w:t xml:space="preserve">einsehbar, alles rund um die Strategie findet man unter </w:t>
      </w:r>
      <w:hyperlink r:id="rId11" w:history="1">
        <w:r w:rsidRPr="00D45BE5">
          <w:rPr>
            <w:color w:val="0070C0"/>
            <w:sz w:val="24"/>
            <w:szCs w:val="24"/>
            <w:u w:val="single"/>
            <w:lang w:val="de-DE"/>
          </w:rPr>
          <w:t>www.innsbruck-tourismus.at/strategie</w:t>
        </w:r>
      </w:hyperlink>
      <w:r w:rsidRPr="00D45BE5">
        <w:rPr>
          <w:sz w:val="24"/>
          <w:szCs w:val="24"/>
          <w:lang w:val="de-DE"/>
        </w:rPr>
        <w:t>.</w:t>
      </w:r>
    </w:p>
    <w:p w14:paraId="2EC72826" w14:textId="77777777" w:rsidR="00D45BE5" w:rsidRPr="00D45BE5" w:rsidRDefault="00D45BE5" w:rsidP="00D45BE5">
      <w:pPr>
        <w:rPr>
          <w:sz w:val="24"/>
          <w:szCs w:val="24"/>
          <w:lang w:val="de-DE"/>
        </w:rPr>
      </w:pPr>
    </w:p>
    <w:sectPr w:rsidR="00D45BE5" w:rsidRPr="00D45BE5" w:rsidSect="00755F2D">
      <w:headerReference w:type="default" r:id="rId12"/>
      <w:pgSz w:w="11900" w:h="16840"/>
      <w:pgMar w:top="709" w:right="987"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ADA4" w14:textId="77777777" w:rsidR="003B7087" w:rsidRDefault="003B7087">
      <w:r>
        <w:separator/>
      </w:r>
    </w:p>
  </w:endnote>
  <w:endnote w:type="continuationSeparator" w:id="0">
    <w:p w14:paraId="1E00B54B" w14:textId="77777777" w:rsidR="003B7087" w:rsidRDefault="003B7087">
      <w:r>
        <w:continuationSeparator/>
      </w:r>
    </w:p>
  </w:endnote>
  <w:endnote w:type="continuationNotice" w:id="1">
    <w:p w14:paraId="208FCD89" w14:textId="77777777" w:rsidR="003B7087" w:rsidRDefault="003B7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lto Con">
    <w:altName w:val="Times New Roman"/>
    <w:panose1 w:val="00000000000000000000"/>
    <w:charset w:val="00"/>
    <w:family w:val="auto"/>
    <w:notTrueType/>
    <w:pitch w:val="variable"/>
    <w:sig w:usb0="00000003" w:usb1="00000000" w:usb2="00000000" w:usb3="00000000" w:csb0="00000001" w:csb1="00000000"/>
  </w:font>
  <w:font w:name="Alto Con Light">
    <w:altName w:val="Corbe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to Con Lt">
    <w:altName w:val="Calibri"/>
    <w:panose1 w:val="00000000000000000000"/>
    <w:charset w:val="00"/>
    <w:family w:val="swiss"/>
    <w:notTrueType/>
    <w:pitch w:val="variable"/>
    <w:sig w:usb0="00000087" w:usb1="00000000" w:usb2="00000000" w:usb3="00000000" w:csb0="0000009B" w:csb1="00000000"/>
  </w:font>
  <w:font w:name="Alto Con Nor">
    <w:altName w:val="Calibri"/>
    <w:panose1 w:val="00000000000000000000"/>
    <w:charset w:val="00"/>
    <w:family w:val="swiss"/>
    <w:notTrueType/>
    <w:pitch w:val="variable"/>
    <w:sig w:usb0="00000087" w:usb1="00000000"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37E5" w14:textId="77777777" w:rsidR="003B7087" w:rsidRDefault="003B7087">
      <w:r>
        <w:separator/>
      </w:r>
    </w:p>
  </w:footnote>
  <w:footnote w:type="continuationSeparator" w:id="0">
    <w:p w14:paraId="05A0E21A" w14:textId="77777777" w:rsidR="003B7087" w:rsidRDefault="003B7087">
      <w:r>
        <w:continuationSeparator/>
      </w:r>
    </w:p>
  </w:footnote>
  <w:footnote w:type="continuationNotice" w:id="1">
    <w:p w14:paraId="3640A16D" w14:textId="77777777" w:rsidR="003B7087" w:rsidRDefault="003B7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D5D6" w14:textId="77777777" w:rsidR="0086190D" w:rsidRPr="008E27E2" w:rsidRDefault="0086190D" w:rsidP="0003364B">
    <w:pPr>
      <w:pStyle w:val="p1"/>
      <w:spacing w:line="240" w:lineRule="auto"/>
      <w:rPr>
        <w:rStyle w:val="s1"/>
        <w:rFonts w:ascii="Alto Con Lt" w:hAnsi="Alto Con Lt"/>
        <w:sz w:val="18"/>
        <w:szCs w:val="18"/>
      </w:rPr>
    </w:pPr>
  </w:p>
  <w:p w14:paraId="377F6BC1" w14:textId="77777777" w:rsidR="0086190D" w:rsidRPr="008E27E2" w:rsidRDefault="00C56927" w:rsidP="0003364B">
    <w:pPr>
      <w:pStyle w:val="p1"/>
      <w:spacing w:line="240" w:lineRule="auto"/>
      <w:rPr>
        <w:rStyle w:val="s1"/>
        <w:rFonts w:ascii="Alto Con Lt" w:hAnsi="Alto Con Lt"/>
        <w:sz w:val="18"/>
        <w:szCs w:val="18"/>
      </w:rPr>
    </w:pPr>
    <w:r>
      <w:rPr>
        <w:noProof/>
      </w:rPr>
      <w:drawing>
        <wp:anchor distT="0" distB="0" distL="114300" distR="114300" simplePos="0" relativeHeight="251658240" behindDoc="0" locked="0" layoutInCell="1" allowOverlap="1" wp14:anchorId="2D1A1149" wp14:editId="5C15E42D">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E558C14" w14:textId="77777777" w:rsidR="0086190D" w:rsidRPr="008E27E2" w:rsidRDefault="0086190D" w:rsidP="0003364B">
    <w:pPr>
      <w:pStyle w:val="p1"/>
      <w:spacing w:line="240" w:lineRule="auto"/>
      <w:rPr>
        <w:rStyle w:val="s1"/>
        <w:rFonts w:ascii="Alto Con Lt" w:hAnsi="Alto Con Lt"/>
        <w:sz w:val="18"/>
        <w:szCs w:val="18"/>
      </w:rPr>
    </w:pPr>
  </w:p>
  <w:p w14:paraId="22EBA140" w14:textId="77777777" w:rsidR="0086190D" w:rsidRPr="00C66D92" w:rsidRDefault="0086190D" w:rsidP="0003364B">
    <w:pPr>
      <w:pStyle w:val="p1"/>
      <w:spacing w:line="240" w:lineRule="auto"/>
      <w:rPr>
        <w:rStyle w:val="s1"/>
        <w:rFonts w:ascii="Alto Con Lt" w:hAnsi="Alto Con Lt"/>
        <w:sz w:val="16"/>
        <w:szCs w:val="16"/>
      </w:rPr>
    </w:pPr>
  </w:p>
  <w:p w14:paraId="4495E0C0" w14:textId="77777777" w:rsidR="0086190D" w:rsidRDefault="0086190D" w:rsidP="0003364B">
    <w:pPr>
      <w:pStyle w:val="p1"/>
      <w:spacing w:line="240" w:lineRule="auto"/>
      <w:rPr>
        <w:rStyle w:val="s1"/>
        <w:rFonts w:ascii="Alto Con Lt" w:hAnsi="Alto Con Lt"/>
        <w:b/>
        <w:bCs/>
        <w:sz w:val="18"/>
        <w:szCs w:val="18"/>
      </w:rPr>
    </w:pPr>
  </w:p>
  <w:p w14:paraId="44DC110C" w14:textId="77777777" w:rsidR="0086190D" w:rsidRPr="005E3370" w:rsidRDefault="0086190D" w:rsidP="0003364B">
    <w:pPr>
      <w:pStyle w:val="p1"/>
      <w:spacing w:line="240" w:lineRule="auto"/>
      <w:rPr>
        <w:rStyle w:val="s1"/>
        <w:rFonts w:ascii="Alto Con Lt" w:hAnsi="Alto Con Lt"/>
        <w:color w:val="7F7F7F"/>
        <w:sz w:val="18"/>
        <w:szCs w:val="18"/>
      </w:rPr>
    </w:pPr>
  </w:p>
  <w:p w14:paraId="4986D765" w14:textId="77777777" w:rsidR="0086190D" w:rsidRPr="005E3370" w:rsidRDefault="0086190D" w:rsidP="0003364B">
    <w:pPr>
      <w:pStyle w:val="p1"/>
      <w:spacing w:line="240" w:lineRule="auto"/>
      <w:rPr>
        <w:rStyle w:val="s1"/>
        <w:rFonts w:ascii="Alto Con Lt" w:hAnsi="Alto Con Lt"/>
        <w:color w:val="7F7F7F"/>
        <w:sz w:val="18"/>
        <w:szCs w:val="18"/>
      </w:rPr>
    </w:pPr>
  </w:p>
  <w:p w14:paraId="550215F5" w14:textId="77777777" w:rsidR="0086190D" w:rsidRDefault="0086190D" w:rsidP="006349B8">
    <w:pPr>
      <w:pStyle w:val="p1"/>
      <w:tabs>
        <w:tab w:val="right" w:leader="underscore" w:pos="14997"/>
      </w:tabs>
      <w:spacing w:line="240" w:lineRule="auto"/>
      <w:rPr>
        <w:rStyle w:val="s1"/>
        <w:rFonts w:ascii="Alto Con Nor" w:hAnsi="Alto Con Nor"/>
        <w:b/>
        <w:color w:val="7F7F7F"/>
        <w:sz w:val="16"/>
        <w:szCs w:val="16"/>
      </w:rPr>
    </w:pPr>
    <w:r>
      <w:rPr>
        <w:rStyle w:val="s1"/>
        <w:rFonts w:ascii="Alto Con Nor" w:hAnsi="Alto Con Nor"/>
        <w:b/>
        <w:color w:val="7F7F7F"/>
        <w:sz w:val="16"/>
        <w:szCs w:val="16"/>
        <w:vertAlign w:val="superscript"/>
      </w:rPr>
      <w:tab/>
    </w:r>
  </w:p>
  <w:p w14:paraId="4C1130CB" w14:textId="77777777" w:rsidR="0086190D" w:rsidRPr="00B824E2" w:rsidRDefault="0086190D" w:rsidP="0019182C">
    <w:pPr>
      <w:pStyle w:val="p1"/>
      <w:spacing w:line="240" w:lineRule="auto"/>
      <w:jc w:val="center"/>
      <w:rPr>
        <w:rStyle w:val="s1"/>
        <w:rFonts w:ascii="Arial Narrow" w:hAnsi="Arial Narrow"/>
        <w:color w:val="7F7F7F"/>
        <w:sz w:val="16"/>
        <w:szCs w:val="16"/>
      </w:rPr>
    </w:pPr>
    <w:proofErr w:type="spellStart"/>
    <w:r w:rsidRPr="00B824E2">
      <w:rPr>
        <w:rFonts w:ascii="Arial Narrow" w:hAnsi="Arial Narrow"/>
        <w:color w:val="000000"/>
        <w:spacing w:val="61"/>
        <w:sz w:val="22"/>
        <w:szCs w:val="22"/>
        <w:lang w:eastAsia="en-US"/>
      </w:rPr>
      <w:t>unlimited</w:t>
    </w:r>
    <w:proofErr w:type="spellEnd"/>
  </w:p>
  <w:p w14:paraId="4A89BEF3" w14:textId="77777777" w:rsidR="0086190D" w:rsidRDefault="0086190D" w:rsidP="006349B8">
    <w:pPr>
      <w:pStyle w:val="p1"/>
      <w:tabs>
        <w:tab w:val="right" w:leader="underscore" w:pos="14997"/>
      </w:tabs>
      <w:spacing w:line="240" w:lineRule="auto"/>
      <w:rPr>
        <w:rStyle w:val="s1"/>
        <w:rFonts w:ascii="Alto Con Nor" w:hAnsi="Alto Con Nor"/>
        <w:b/>
        <w:color w:val="7F7F7F"/>
        <w:sz w:val="16"/>
        <w:szCs w:val="16"/>
      </w:rPr>
    </w:pPr>
    <w:r>
      <w:rPr>
        <w:rStyle w:val="s1"/>
        <w:rFonts w:ascii="Alto Con Nor" w:hAnsi="Alto Con Nor"/>
        <w:b/>
        <w:color w:val="7F7F7F"/>
        <w:sz w:val="16"/>
        <w:szCs w:val="16"/>
        <w:vertAlign w:val="superscript"/>
      </w:rPr>
      <w:tab/>
    </w:r>
  </w:p>
  <w:p w14:paraId="216F5D00" w14:textId="77777777" w:rsidR="0086190D" w:rsidRPr="00C66D92" w:rsidRDefault="0086190D" w:rsidP="0003364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num w:numId="1" w16cid:durableId="1007055880">
    <w:abstractNumId w:val="9"/>
  </w:num>
  <w:num w:numId="2" w16cid:durableId="553934572">
    <w:abstractNumId w:val="7"/>
  </w:num>
  <w:num w:numId="3" w16cid:durableId="1243295703">
    <w:abstractNumId w:val="6"/>
  </w:num>
  <w:num w:numId="4" w16cid:durableId="14314203">
    <w:abstractNumId w:val="5"/>
  </w:num>
  <w:num w:numId="5" w16cid:durableId="601886977">
    <w:abstractNumId w:val="4"/>
  </w:num>
  <w:num w:numId="6" w16cid:durableId="65493220">
    <w:abstractNumId w:val="8"/>
  </w:num>
  <w:num w:numId="7" w16cid:durableId="2091005307">
    <w:abstractNumId w:val="3"/>
  </w:num>
  <w:num w:numId="8" w16cid:durableId="1995601396">
    <w:abstractNumId w:val="2"/>
  </w:num>
  <w:num w:numId="9" w16cid:durableId="1865554501">
    <w:abstractNumId w:val="1"/>
  </w:num>
  <w:num w:numId="10" w16cid:durableId="198261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D1"/>
    <w:rsid w:val="00016999"/>
    <w:rsid w:val="000242B6"/>
    <w:rsid w:val="0003364B"/>
    <w:rsid w:val="00091FCC"/>
    <w:rsid w:val="000D2F1D"/>
    <w:rsid w:val="000F17D1"/>
    <w:rsid w:val="00131573"/>
    <w:rsid w:val="00145D9E"/>
    <w:rsid w:val="001639D0"/>
    <w:rsid w:val="0019182C"/>
    <w:rsid w:val="00194213"/>
    <w:rsid w:val="001A47C2"/>
    <w:rsid w:val="001B2D0F"/>
    <w:rsid w:val="001C5F88"/>
    <w:rsid w:val="001E3BD1"/>
    <w:rsid w:val="001F030B"/>
    <w:rsid w:val="001F64C5"/>
    <w:rsid w:val="00241760"/>
    <w:rsid w:val="002463BF"/>
    <w:rsid w:val="00246ED0"/>
    <w:rsid w:val="00253759"/>
    <w:rsid w:val="002762EC"/>
    <w:rsid w:val="002924DB"/>
    <w:rsid w:val="002960AC"/>
    <w:rsid w:val="002A02CF"/>
    <w:rsid w:val="002A2D7A"/>
    <w:rsid w:val="002A7D40"/>
    <w:rsid w:val="002B68FA"/>
    <w:rsid w:val="002E1814"/>
    <w:rsid w:val="002E59C2"/>
    <w:rsid w:val="00305EBC"/>
    <w:rsid w:val="00310E1F"/>
    <w:rsid w:val="00315685"/>
    <w:rsid w:val="003259A4"/>
    <w:rsid w:val="00367869"/>
    <w:rsid w:val="00395BB7"/>
    <w:rsid w:val="003B1E45"/>
    <w:rsid w:val="003B7087"/>
    <w:rsid w:val="003C3664"/>
    <w:rsid w:val="003D1FAE"/>
    <w:rsid w:val="003D5501"/>
    <w:rsid w:val="00437670"/>
    <w:rsid w:val="004439E2"/>
    <w:rsid w:val="0049627B"/>
    <w:rsid w:val="004B0B8B"/>
    <w:rsid w:val="004B5A12"/>
    <w:rsid w:val="004E480A"/>
    <w:rsid w:val="004F38F6"/>
    <w:rsid w:val="00527AEF"/>
    <w:rsid w:val="00532B84"/>
    <w:rsid w:val="00563D66"/>
    <w:rsid w:val="00594A38"/>
    <w:rsid w:val="005A669C"/>
    <w:rsid w:val="005E0538"/>
    <w:rsid w:val="005E3370"/>
    <w:rsid w:val="005E524B"/>
    <w:rsid w:val="006178B5"/>
    <w:rsid w:val="006339EA"/>
    <w:rsid w:val="006349B8"/>
    <w:rsid w:val="00640224"/>
    <w:rsid w:val="00651280"/>
    <w:rsid w:val="00656B24"/>
    <w:rsid w:val="00680635"/>
    <w:rsid w:val="006C0323"/>
    <w:rsid w:val="006C52BD"/>
    <w:rsid w:val="006D779C"/>
    <w:rsid w:val="006E1D7F"/>
    <w:rsid w:val="00705846"/>
    <w:rsid w:val="00736B7B"/>
    <w:rsid w:val="0074094A"/>
    <w:rsid w:val="0074637B"/>
    <w:rsid w:val="00755F2D"/>
    <w:rsid w:val="00781353"/>
    <w:rsid w:val="0079115F"/>
    <w:rsid w:val="00793C96"/>
    <w:rsid w:val="007B671F"/>
    <w:rsid w:val="007D77B7"/>
    <w:rsid w:val="007E619A"/>
    <w:rsid w:val="00805ED4"/>
    <w:rsid w:val="008240AB"/>
    <w:rsid w:val="0086190D"/>
    <w:rsid w:val="0087786B"/>
    <w:rsid w:val="008B36E9"/>
    <w:rsid w:val="008B6C9B"/>
    <w:rsid w:val="008E27E2"/>
    <w:rsid w:val="00912630"/>
    <w:rsid w:val="00942189"/>
    <w:rsid w:val="00956FAA"/>
    <w:rsid w:val="00992396"/>
    <w:rsid w:val="009B556C"/>
    <w:rsid w:val="009B741B"/>
    <w:rsid w:val="009E6241"/>
    <w:rsid w:val="00A11B61"/>
    <w:rsid w:val="00A133B8"/>
    <w:rsid w:val="00A31927"/>
    <w:rsid w:val="00AB20CF"/>
    <w:rsid w:val="00AF7D84"/>
    <w:rsid w:val="00B41E83"/>
    <w:rsid w:val="00B55DB9"/>
    <w:rsid w:val="00B824E2"/>
    <w:rsid w:val="00BA3CEC"/>
    <w:rsid w:val="00BA5E49"/>
    <w:rsid w:val="00C04BBB"/>
    <w:rsid w:val="00C2603B"/>
    <w:rsid w:val="00C44B8A"/>
    <w:rsid w:val="00C56927"/>
    <w:rsid w:val="00C57C54"/>
    <w:rsid w:val="00C63289"/>
    <w:rsid w:val="00C66D92"/>
    <w:rsid w:val="00CB426D"/>
    <w:rsid w:val="00D02051"/>
    <w:rsid w:val="00D042F2"/>
    <w:rsid w:val="00D11E8E"/>
    <w:rsid w:val="00D44711"/>
    <w:rsid w:val="00D45BE5"/>
    <w:rsid w:val="00D60D60"/>
    <w:rsid w:val="00D70684"/>
    <w:rsid w:val="00D70869"/>
    <w:rsid w:val="00D8132A"/>
    <w:rsid w:val="00DA1871"/>
    <w:rsid w:val="00DC762C"/>
    <w:rsid w:val="00E00945"/>
    <w:rsid w:val="00E015F8"/>
    <w:rsid w:val="00E1737C"/>
    <w:rsid w:val="00E21AF0"/>
    <w:rsid w:val="00E37722"/>
    <w:rsid w:val="00E43A35"/>
    <w:rsid w:val="00E46778"/>
    <w:rsid w:val="00E51676"/>
    <w:rsid w:val="00E84CAD"/>
    <w:rsid w:val="00E93283"/>
    <w:rsid w:val="00E955CE"/>
    <w:rsid w:val="00EA21E5"/>
    <w:rsid w:val="00EB3F88"/>
    <w:rsid w:val="00EB4922"/>
    <w:rsid w:val="00ED7D55"/>
    <w:rsid w:val="00F41553"/>
    <w:rsid w:val="00FA20D7"/>
    <w:rsid w:val="00FA3EF1"/>
    <w:rsid w:val="00FC27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CCC19"/>
  <w15:docId w15:val="{B4264FBE-79AC-4146-ACB4-8CD4090D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7D1"/>
    <w:rPr>
      <w:rFonts w:ascii="Aptos" w:eastAsiaTheme="minorHAnsi" w:hAnsi="Aptos" w:cs="Aptos"/>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pPr>
    <w:rPr>
      <w:rFonts w:ascii="Cambria" w:eastAsia="Cambria" w:hAnsi="Cambria" w:cs="Times New Roman"/>
      <w:sz w:val="24"/>
      <w:szCs w:val="24"/>
      <w:lang w:val="de-DE"/>
      <w14:ligatures w14:val="none"/>
    </w:rPr>
  </w:style>
  <w:style w:type="character" w:customStyle="1" w:styleId="KopfzeileZchn">
    <w:name w:val="Kopfzeile Zchn"/>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pPr>
    <w:rPr>
      <w:rFonts w:ascii="Cambria" w:eastAsia="Cambria" w:hAnsi="Cambria" w:cs="Times New Roman"/>
      <w:sz w:val="24"/>
      <w:szCs w:val="24"/>
      <w:lang w:val="de-DE"/>
      <w14:ligatures w14:val="none"/>
    </w:rPr>
  </w:style>
  <w:style w:type="character" w:customStyle="1" w:styleId="FuzeileZchn">
    <w:name w:val="Fußzeile Zchn"/>
    <w:link w:val="Fuzeile"/>
    <w:uiPriority w:val="99"/>
    <w:locked/>
    <w:rsid w:val="00241760"/>
    <w:rPr>
      <w:rFonts w:cs="Times New Roman"/>
    </w:rPr>
  </w:style>
  <w:style w:type="paragraph" w:customStyle="1" w:styleId="p1">
    <w:name w:val="p1"/>
    <w:basedOn w:val="Standard"/>
    <w:uiPriority w:val="99"/>
    <w:rsid w:val="000D2F1D"/>
    <w:pPr>
      <w:spacing w:line="158" w:lineRule="atLeast"/>
    </w:pPr>
    <w:rPr>
      <w:rFonts w:ascii="Alto Con" w:eastAsia="Cambria" w:hAnsi="Alto Con" w:cs="Times New Roman"/>
      <w:sz w:val="12"/>
      <w:szCs w:val="12"/>
      <w:lang w:val="de-DE" w:eastAsia="de-DE"/>
      <w14:ligatures w14:val="none"/>
    </w:rPr>
  </w:style>
  <w:style w:type="character" w:customStyle="1" w:styleId="s2">
    <w:name w:val="s2"/>
    <w:uiPriority w:val="99"/>
    <w:rsid w:val="000D2F1D"/>
    <w:rPr>
      <w:rFonts w:cs="Times New Roman"/>
      <w:position w:val="3"/>
    </w:rPr>
  </w:style>
  <w:style w:type="character" w:customStyle="1" w:styleId="s1">
    <w:name w:val="s1"/>
    <w:uiPriority w:val="99"/>
    <w:rsid w:val="000D2F1D"/>
    <w:rPr>
      <w:rFonts w:cs="Times New Roman"/>
    </w:rPr>
  </w:style>
  <w:style w:type="paragraph" w:customStyle="1" w:styleId="p2">
    <w:name w:val="p2"/>
    <w:basedOn w:val="Standard"/>
    <w:uiPriority w:val="99"/>
    <w:rsid w:val="003D1FAE"/>
    <w:pPr>
      <w:spacing w:line="195" w:lineRule="atLeast"/>
      <w:jc w:val="both"/>
    </w:pPr>
    <w:rPr>
      <w:rFonts w:ascii="Alto Con Light" w:hAnsi="Alto Con Light"/>
      <w:sz w:val="15"/>
      <w:szCs w:val="15"/>
      <w:lang w:eastAsia="de-DE"/>
    </w:rPr>
  </w:style>
  <w:style w:type="character" w:customStyle="1" w:styleId="apple-converted-space">
    <w:name w:val="apple-converted-space"/>
    <w:uiPriority w:val="99"/>
    <w:rsid w:val="003D1FAE"/>
    <w:rPr>
      <w:rFonts w:cs="Times New Roman"/>
    </w:rPr>
  </w:style>
  <w:style w:type="paragraph" w:styleId="Sprechblasentext">
    <w:name w:val="Balloon Text"/>
    <w:basedOn w:val="Standard"/>
    <w:link w:val="SprechblasentextZchn"/>
    <w:uiPriority w:val="99"/>
    <w:semiHidden/>
    <w:rsid w:val="00395BB7"/>
    <w:rPr>
      <w:rFonts w:ascii="Segoe UI" w:eastAsia="Cambria" w:hAnsi="Segoe UI" w:cs="Segoe UI"/>
      <w:sz w:val="18"/>
      <w:szCs w:val="18"/>
      <w:lang w:val="de-DE"/>
      <w14:ligatures w14:val="none"/>
    </w:rPr>
  </w:style>
  <w:style w:type="character" w:customStyle="1" w:styleId="SprechblasentextZchn">
    <w:name w:val="Sprechblasentext Zchn"/>
    <w:link w:val="Sprechblasentext"/>
    <w:uiPriority w:val="99"/>
    <w:semiHidden/>
    <w:locked/>
    <w:rsid w:val="00395BB7"/>
    <w:rPr>
      <w:rFonts w:ascii="Segoe UI" w:hAnsi="Segoe UI" w:cs="Segoe UI"/>
      <w:sz w:val="18"/>
      <w:szCs w:val="18"/>
    </w:rPr>
  </w:style>
  <w:style w:type="character" w:styleId="Hyperlink">
    <w:name w:val="Hyperlink"/>
    <w:uiPriority w:val="99"/>
    <w:rsid w:val="005E33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739945">
      <w:marLeft w:val="0"/>
      <w:marRight w:val="0"/>
      <w:marTop w:val="0"/>
      <w:marBottom w:val="0"/>
      <w:divBdr>
        <w:top w:val="none" w:sz="0" w:space="0" w:color="auto"/>
        <w:left w:val="none" w:sz="0" w:space="0" w:color="auto"/>
        <w:bottom w:val="none" w:sz="0" w:space="0" w:color="auto"/>
        <w:right w:val="none" w:sz="0" w:space="0" w:color="auto"/>
      </w:divBdr>
    </w:div>
    <w:div w:id="1305739946">
      <w:marLeft w:val="0"/>
      <w:marRight w:val="0"/>
      <w:marTop w:val="0"/>
      <w:marBottom w:val="0"/>
      <w:divBdr>
        <w:top w:val="none" w:sz="0" w:space="0" w:color="auto"/>
        <w:left w:val="none" w:sz="0" w:space="0" w:color="auto"/>
        <w:bottom w:val="none" w:sz="0" w:space="0" w:color="auto"/>
        <w:right w:val="none" w:sz="0" w:space="0" w:color="auto"/>
      </w:divBdr>
    </w:div>
    <w:div w:id="1305739947">
      <w:marLeft w:val="0"/>
      <w:marRight w:val="0"/>
      <w:marTop w:val="0"/>
      <w:marBottom w:val="0"/>
      <w:divBdr>
        <w:top w:val="none" w:sz="0" w:space="0" w:color="auto"/>
        <w:left w:val="none" w:sz="0" w:space="0" w:color="auto"/>
        <w:bottom w:val="none" w:sz="0" w:space="0" w:color="auto"/>
        <w:right w:val="none" w:sz="0" w:space="0" w:color="auto"/>
      </w:divBdr>
    </w:div>
    <w:div w:id="1305739948">
      <w:marLeft w:val="0"/>
      <w:marRight w:val="0"/>
      <w:marTop w:val="0"/>
      <w:marBottom w:val="0"/>
      <w:divBdr>
        <w:top w:val="none" w:sz="0" w:space="0" w:color="auto"/>
        <w:left w:val="none" w:sz="0" w:space="0" w:color="auto"/>
        <w:bottom w:val="none" w:sz="0" w:space="0" w:color="auto"/>
        <w:right w:val="none" w:sz="0" w:space="0" w:color="auto"/>
      </w:divBdr>
    </w:div>
    <w:div w:id="1305739949">
      <w:marLeft w:val="0"/>
      <w:marRight w:val="0"/>
      <w:marTop w:val="0"/>
      <w:marBottom w:val="0"/>
      <w:divBdr>
        <w:top w:val="none" w:sz="0" w:space="0" w:color="auto"/>
        <w:left w:val="none" w:sz="0" w:space="0" w:color="auto"/>
        <w:bottom w:val="none" w:sz="0" w:space="0" w:color="auto"/>
        <w:right w:val="none" w:sz="0" w:space="0" w:color="auto"/>
      </w:divBdr>
    </w:div>
    <w:div w:id="1305739950">
      <w:marLeft w:val="0"/>
      <w:marRight w:val="0"/>
      <w:marTop w:val="0"/>
      <w:marBottom w:val="0"/>
      <w:divBdr>
        <w:top w:val="none" w:sz="0" w:space="0" w:color="auto"/>
        <w:left w:val="none" w:sz="0" w:space="0" w:color="auto"/>
        <w:bottom w:val="none" w:sz="0" w:space="0" w:color="auto"/>
        <w:right w:val="none" w:sz="0" w:space="0" w:color="auto"/>
      </w:divBdr>
    </w:div>
    <w:div w:id="1305739951">
      <w:marLeft w:val="0"/>
      <w:marRight w:val="0"/>
      <w:marTop w:val="0"/>
      <w:marBottom w:val="0"/>
      <w:divBdr>
        <w:top w:val="none" w:sz="0" w:space="0" w:color="auto"/>
        <w:left w:val="none" w:sz="0" w:space="0" w:color="auto"/>
        <w:bottom w:val="none" w:sz="0" w:space="0" w:color="auto"/>
        <w:right w:val="none" w:sz="0" w:space="0" w:color="auto"/>
      </w:divBdr>
    </w:div>
    <w:div w:id="1305739952">
      <w:marLeft w:val="0"/>
      <w:marRight w:val="0"/>
      <w:marTop w:val="0"/>
      <w:marBottom w:val="0"/>
      <w:divBdr>
        <w:top w:val="none" w:sz="0" w:space="0" w:color="auto"/>
        <w:left w:val="none" w:sz="0" w:space="0" w:color="auto"/>
        <w:bottom w:val="none" w:sz="0" w:space="0" w:color="auto"/>
        <w:right w:val="none" w:sz="0" w:space="0" w:color="auto"/>
      </w:divBdr>
    </w:div>
    <w:div w:id="1305739953">
      <w:marLeft w:val="0"/>
      <w:marRight w:val="0"/>
      <w:marTop w:val="0"/>
      <w:marBottom w:val="0"/>
      <w:divBdr>
        <w:top w:val="none" w:sz="0" w:space="0" w:color="auto"/>
        <w:left w:val="none" w:sz="0" w:space="0" w:color="auto"/>
        <w:bottom w:val="none" w:sz="0" w:space="0" w:color="auto"/>
        <w:right w:val="none" w:sz="0" w:space="0" w:color="auto"/>
      </w:divBdr>
    </w:div>
    <w:div w:id="1305739954">
      <w:marLeft w:val="0"/>
      <w:marRight w:val="0"/>
      <w:marTop w:val="0"/>
      <w:marBottom w:val="0"/>
      <w:divBdr>
        <w:top w:val="none" w:sz="0" w:space="0" w:color="auto"/>
        <w:left w:val="none" w:sz="0" w:space="0" w:color="auto"/>
        <w:bottom w:val="none" w:sz="0" w:space="0" w:color="auto"/>
        <w:right w:val="none" w:sz="0" w:space="0" w:color="auto"/>
      </w:divBdr>
    </w:div>
    <w:div w:id="16000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tourismus.at/strategie" TargetMode="External"/><Relationship Id="rId5" Type="http://schemas.openxmlformats.org/officeDocument/2006/relationships/styles" Target="styles.xml"/><Relationship Id="rId10" Type="http://schemas.openxmlformats.org/officeDocument/2006/relationships/hyperlink" Target="https://www.innsbruck.info/ueber-innsbruck-tourismus/geschaeftsberichte/2024.html?utm_source=screens&amp;utm_medium=qr&amp;utm_campaign=gb&amp;utm_content=vv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6673fc20-5997-4bbe-b7fc-27ec4dff71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941B7AB2A8F94E9AC687858C1ACD40" ma:contentTypeVersion="12" ma:contentTypeDescription="Ein neues Dokument erstellen." ma:contentTypeScope="" ma:versionID="b10988db898d7878503a9e08a0bb24a9">
  <xsd:schema xmlns:xsd="http://www.w3.org/2001/XMLSchema" xmlns:xs="http://www.w3.org/2001/XMLSchema" xmlns:p="http://schemas.microsoft.com/office/2006/metadata/properties" xmlns:ns2="6673fc20-5997-4bbe-b7fc-27ec4dff71da" xmlns:ns3="fcf3543e-a949-41e7-89a6-d75fd0bd0681" targetNamespace="http://schemas.microsoft.com/office/2006/metadata/properties" ma:root="true" ma:fieldsID="fb4167e7e1e98f3923112cc6c4b02514" ns2:_="" ns3:_="">
    <xsd:import namespace="6673fc20-5997-4bbe-b7fc-27ec4dff71da"/>
    <xsd:import namespace="fcf3543e-a949-41e7-89a6-d75fd0bd0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3fc20-5997-4bbe-b7fc-27ec4dff7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8DFA4-D44B-4721-AAA6-9AC4366212FB}">
  <ds:schemaRefs>
    <ds:schemaRef ds:uri="http://schemas.microsoft.com/sharepoint/v3/contenttype/forms"/>
  </ds:schemaRefs>
</ds:datastoreItem>
</file>

<file path=customXml/itemProps2.xml><?xml version="1.0" encoding="utf-8"?>
<ds:datastoreItem xmlns:ds="http://schemas.openxmlformats.org/officeDocument/2006/customXml" ds:itemID="{A3B48972-0E76-42BA-B679-53820E09C976}">
  <ds:schemaRefs>
    <ds:schemaRef ds:uri="http://schemas.microsoft.com/office/2006/metadata/properties"/>
    <ds:schemaRef ds:uri="http://schemas.microsoft.com/office/infopath/2007/PartnerControls"/>
    <ds:schemaRef ds:uri="fcf3543e-a949-41e7-89a6-d75fd0bd0681"/>
    <ds:schemaRef ds:uri="6673fc20-5997-4bbe-b7fc-27ec4dff71da"/>
  </ds:schemaRefs>
</ds:datastoreItem>
</file>

<file path=customXml/itemProps3.xml><?xml version="1.0" encoding="utf-8"?>
<ds:datastoreItem xmlns:ds="http://schemas.openxmlformats.org/officeDocument/2006/customXml" ds:itemID="{EAFA2ECD-5591-4C2E-BC7D-C00F22299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3fc20-5997-4bbe-b7fc-27ec4dff71da"/>
    <ds:schemaRef ds:uri="fcf3543e-a949-41e7-89a6-d75fd0bd0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Kröll - Innsbruck Tourismus</dc:creator>
  <cp:keywords/>
  <cp:lastModifiedBy>ProMedia - Rafaela Bodner</cp:lastModifiedBy>
  <cp:revision>5</cp:revision>
  <cp:lastPrinted>2017-11-03T08:35:00Z</cp:lastPrinted>
  <dcterms:created xsi:type="dcterms:W3CDTF">2024-11-26T19:32:00Z</dcterms:created>
  <dcterms:modified xsi:type="dcterms:W3CDTF">2024-11-27T14:40:00Z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0x010100A0941B7AB2A8F94E9AC687858C1ACD40</vt:lpwstr>
  </property>
</Properties>
</file>