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DF75" w14:textId="75C7A522" w:rsidR="005A212D" w:rsidRPr="0046611C" w:rsidRDefault="007C6E31" w:rsidP="00B06C5D">
      <w:pPr>
        <w:pStyle w:val="Titel2"/>
        <w:rPr>
          <w:sz w:val="60"/>
          <w:szCs w:val="60"/>
        </w:rPr>
      </w:pPr>
      <w:r w:rsidRPr="00050A9F">
        <w:rPr>
          <w:sz w:val="60"/>
          <w:szCs w:val="60"/>
        </w:rPr>
        <w:t>EU-KOM</w:t>
      </w:r>
      <w:r w:rsidR="00A2052B" w:rsidRPr="00050A9F">
        <w:rPr>
          <w:sz w:val="60"/>
          <w:szCs w:val="60"/>
        </w:rPr>
        <w:t>m</w:t>
      </w:r>
      <w:r w:rsidRPr="00050A9F">
        <w:rPr>
          <w:sz w:val="60"/>
          <w:szCs w:val="60"/>
        </w:rPr>
        <w:t xml:space="preserve">ISSAr </w:t>
      </w:r>
      <w:r w:rsidR="00A518EE" w:rsidRPr="00050A9F">
        <w:rPr>
          <w:b/>
          <w:bCs/>
          <w:sz w:val="60"/>
          <w:szCs w:val="60"/>
        </w:rPr>
        <w:t>tzitzikostas</w:t>
      </w:r>
      <w:r w:rsidR="00A518EE" w:rsidRPr="00050A9F">
        <w:rPr>
          <w:sz w:val="60"/>
          <w:szCs w:val="60"/>
        </w:rPr>
        <w:t xml:space="preserve"> zu gast in</w:t>
      </w:r>
      <w:r w:rsidR="00A518EE" w:rsidRPr="00050A9F">
        <w:rPr>
          <w:b/>
          <w:bCs/>
          <w:sz w:val="60"/>
          <w:szCs w:val="60"/>
        </w:rPr>
        <w:t xml:space="preserve"> tirol</w:t>
      </w:r>
      <w:r w:rsidR="00A518EE" w:rsidRPr="00050A9F">
        <w:rPr>
          <w:sz w:val="60"/>
          <w:szCs w:val="60"/>
        </w:rPr>
        <w:t xml:space="preserve">: zukunft des </w:t>
      </w:r>
      <w:r w:rsidR="00A518EE" w:rsidRPr="00050A9F">
        <w:rPr>
          <w:b/>
          <w:bCs/>
          <w:sz w:val="60"/>
          <w:szCs w:val="60"/>
        </w:rPr>
        <w:t>europäischen tourismus</w:t>
      </w:r>
      <w:r w:rsidR="00A518EE" w:rsidRPr="00050A9F">
        <w:rPr>
          <w:sz w:val="60"/>
          <w:szCs w:val="60"/>
        </w:rPr>
        <w:t xml:space="preserve"> </w:t>
      </w:r>
      <w:r w:rsidR="0089301F" w:rsidRPr="0047109A">
        <w:rPr>
          <w:sz w:val="60"/>
          <w:szCs w:val="60"/>
        </w:rPr>
        <w:t xml:space="preserve">im gleichschritt </w:t>
      </w:r>
      <w:r w:rsidR="0089301F" w:rsidRPr="0047109A">
        <w:rPr>
          <w:b/>
          <w:bCs/>
          <w:sz w:val="60"/>
          <w:szCs w:val="60"/>
        </w:rPr>
        <w:t>mit bevölkerung</w:t>
      </w:r>
      <w:r w:rsidR="0089301F" w:rsidRPr="00050A9F">
        <w:rPr>
          <w:sz w:val="60"/>
          <w:szCs w:val="60"/>
        </w:rPr>
        <w:t xml:space="preserve"> gestalten </w:t>
      </w:r>
      <w:r w:rsidR="0046611C">
        <w:rPr>
          <w:sz w:val="60"/>
          <w:szCs w:val="60"/>
        </w:rPr>
        <w:br/>
      </w:r>
    </w:p>
    <w:p w14:paraId="6857A41E" w14:textId="396E2E38" w:rsidR="00204C78" w:rsidRPr="0046611C" w:rsidRDefault="00090F32" w:rsidP="00204C78">
      <w:pPr>
        <w:rPr>
          <w:rFonts w:ascii="Georgia" w:hAnsi="Georgia" w:cs="Calibri"/>
          <w:i/>
          <w:iCs/>
          <w:sz w:val="26"/>
          <w:szCs w:val="26"/>
        </w:rPr>
      </w:pPr>
      <w:r w:rsidRPr="0046611C">
        <w:rPr>
          <w:rFonts w:ascii="Georgia" w:hAnsi="Georgia"/>
          <w:i/>
          <w:iCs/>
          <w:color w:val="000000"/>
          <w:sz w:val="26"/>
          <w:szCs w:val="26"/>
          <w:bdr w:val="none" w:sz="0" w:space="0" w:color="auto" w:frame="1"/>
          <w:shd w:val="clear" w:color="auto" w:fill="FFFFFF"/>
        </w:rPr>
        <w:t xml:space="preserve">Tirol stand am Mittwochabend im Zentrum der europäischen Tourismusdebatte: Landeshauptmann Anton Mattle begrüßte in der Villa Blanka den EU-Kommissar für nachhaltigen Verkehr und Tourismus Apostolos </w:t>
      </w:r>
      <w:proofErr w:type="spellStart"/>
      <w:r w:rsidRPr="0046611C">
        <w:rPr>
          <w:rFonts w:ascii="Georgia" w:hAnsi="Georgia"/>
          <w:i/>
          <w:iCs/>
          <w:color w:val="000000"/>
          <w:sz w:val="26"/>
          <w:szCs w:val="26"/>
          <w:bdr w:val="none" w:sz="0" w:space="0" w:color="auto" w:frame="1"/>
          <w:shd w:val="clear" w:color="auto" w:fill="FFFFFF"/>
        </w:rPr>
        <w:t>Tzitzikostas</w:t>
      </w:r>
      <w:proofErr w:type="spellEnd"/>
      <w:r w:rsidRPr="0046611C">
        <w:rPr>
          <w:rFonts w:ascii="Georgia" w:hAnsi="Georgia"/>
          <w:i/>
          <w:iCs/>
          <w:color w:val="000000"/>
          <w:sz w:val="26"/>
          <w:szCs w:val="26"/>
          <w:bdr w:val="none" w:sz="0" w:space="0" w:color="auto" w:frame="1"/>
          <w:shd w:val="clear" w:color="auto" w:fill="FFFFFF"/>
        </w:rPr>
        <w:t xml:space="preserve">, um gemeinsam mit ihm und </w:t>
      </w:r>
      <w:proofErr w:type="spellStart"/>
      <w:proofErr w:type="gramStart"/>
      <w:r w:rsidRPr="0046611C">
        <w:rPr>
          <w:rFonts w:ascii="Georgia" w:hAnsi="Georgia"/>
          <w:i/>
          <w:iCs/>
          <w:color w:val="000000"/>
          <w:sz w:val="26"/>
          <w:szCs w:val="26"/>
          <w:bdr w:val="none" w:sz="0" w:space="0" w:color="auto" w:frame="1"/>
          <w:shd w:val="clear" w:color="auto" w:fill="FFFFFF"/>
        </w:rPr>
        <w:t>Vertreter:innen</w:t>
      </w:r>
      <w:proofErr w:type="spellEnd"/>
      <w:proofErr w:type="gramEnd"/>
      <w:r w:rsidRPr="0046611C">
        <w:rPr>
          <w:rFonts w:ascii="Georgia" w:hAnsi="Georgia"/>
          <w:i/>
          <w:iCs/>
          <w:color w:val="000000"/>
          <w:sz w:val="26"/>
          <w:szCs w:val="26"/>
          <w:bdr w:val="none" w:sz="0" w:space="0" w:color="auto" w:frame="1"/>
          <w:shd w:val="clear" w:color="auto" w:fill="FFFFFF"/>
        </w:rPr>
        <w:t xml:space="preserve"> aus Politik, Wissenschaft und Wirtschaft zentrale Zukunftsfragen des Tourismus zu diskutieren.</w:t>
      </w:r>
    </w:p>
    <w:p w14:paraId="43E3F803" w14:textId="028864B1" w:rsidR="007525C0" w:rsidRPr="00E86A54" w:rsidRDefault="00494DF0" w:rsidP="003050BA">
      <w:pPr>
        <w:spacing w:line="360" w:lineRule="auto"/>
        <w:rPr>
          <w:rFonts w:ascii="Calibri" w:hAnsi="Calibri" w:cs="Calibri"/>
          <w:sz w:val="22"/>
          <w:szCs w:val="22"/>
        </w:rPr>
      </w:pPr>
      <w:r>
        <w:rPr>
          <w:rFonts w:cs="Calibri"/>
          <w:b/>
          <w:bCs/>
        </w:rPr>
        <w:br/>
      </w:r>
      <w:r w:rsidR="0036485D" w:rsidRPr="008D0EB0">
        <w:rPr>
          <w:rFonts w:cs="Calibri"/>
          <w:b/>
          <w:bCs/>
        </w:rPr>
        <w:t xml:space="preserve">Innsbruck, </w:t>
      </w:r>
      <w:r w:rsidR="00090F32">
        <w:rPr>
          <w:rFonts w:cs="Calibri"/>
          <w:b/>
          <w:bCs/>
        </w:rPr>
        <w:t>18</w:t>
      </w:r>
      <w:r w:rsidR="0036485D" w:rsidRPr="008D0EB0">
        <w:rPr>
          <w:rFonts w:cs="Calibri"/>
          <w:b/>
          <w:bCs/>
        </w:rPr>
        <w:t xml:space="preserve">. </w:t>
      </w:r>
      <w:r w:rsidR="00090F32">
        <w:rPr>
          <w:rFonts w:cs="Calibri"/>
          <w:b/>
          <w:bCs/>
        </w:rPr>
        <w:t>September</w:t>
      </w:r>
      <w:r w:rsidR="0036485D" w:rsidRPr="008D0EB0">
        <w:rPr>
          <w:rFonts w:cs="Calibri"/>
          <w:b/>
          <w:bCs/>
        </w:rPr>
        <w:t xml:space="preserve"> 2025 </w:t>
      </w:r>
      <w:r w:rsidR="0036485D" w:rsidRPr="00177C4B">
        <w:rPr>
          <w:rFonts w:cs="Calibri"/>
        </w:rPr>
        <w:t>–</w:t>
      </w:r>
      <w:r w:rsidR="0036485D" w:rsidRPr="008D0EB0">
        <w:rPr>
          <w:rFonts w:cs="Calibri"/>
        </w:rPr>
        <w:t xml:space="preserve"> </w:t>
      </w:r>
      <w:r w:rsidR="007525C0" w:rsidRPr="00E86A54">
        <w:rPr>
          <w:rFonts w:cs="Calibri"/>
        </w:rPr>
        <w:t xml:space="preserve">Im Mittelpunkt des Treffens standen die Themen Nachhaltigkeit, gesellschaftliche Akzeptanz und die Rolle der einheimischen Bevölkerung im europäischen Tourismus. Besonderes Augenmerk galt dabei der Frage, wie Tirol und Europa gemeinsam Wege finden können, den Tourismus zukunftsfähig und sozial ausgewogen zu gestalten. Die Bedeutung von </w:t>
      </w:r>
      <w:proofErr w:type="spellStart"/>
      <w:r w:rsidR="007525C0" w:rsidRPr="00E86A54">
        <w:rPr>
          <w:rFonts w:cs="Calibri"/>
        </w:rPr>
        <w:t>Einheimischentarifen</w:t>
      </w:r>
      <w:proofErr w:type="spellEnd"/>
      <w:r w:rsidR="007525C0" w:rsidRPr="00E86A54">
        <w:rPr>
          <w:rFonts w:cs="Calibri"/>
        </w:rPr>
        <w:t xml:space="preserve"> und deren rechtliche Ausgestaltung auf europäischer Ebene war dabei ein zentrales Anliegen der Tiroler Seite.</w:t>
      </w:r>
    </w:p>
    <w:p w14:paraId="1BAE5712" w14:textId="1D2D0BBD" w:rsidR="007525C0" w:rsidRPr="00E86A54" w:rsidRDefault="007525C0" w:rsidP="00455712">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r w:rsidRPr="00E86A54">
        <w:rPr>
          <w:rFonts w:asciiTheme="minorHAnsi" w:eastAsiaTheme="minorHAnsi" w:hAnsiTheme="minorHAnsi" w:cs="Calibri"/>
          <w:sz w:val="21"/>
          <w:szCs w:val="21"/>
          <w:lang w:val="de-AT" w:eastAsia="en-US"/>
        </w:rPr>
        <w:t>Landeshauptmann </w:t>
      </w:r>
      <w:r w:rsidRPr="00E86A54">
        <w:rPr>
          <w:rFonts w:asciiTheme="minorHAnsi" w:eastAsiaTheme="minorHAnsi" w:hAnsiTheme="minorHAnsi" w:cs="Calibri"/>
          <w:b/>
          <w:bCs/>
          <w:sz w:val="21"/>
          <w:szCs w:val="21"/>
          <w:lang w:val="de-AT" w:eastAsia="en-US"/>
        </w:rPr>
        <w:t>Anton Mattle</w:t>
      </w:r>
      <w:r w:rsidRPr="00E86A54">
        <w:rPr>
          <w:rFonts w:asciiTheme="minorHAnsi" w:eastAsiaTheme="minorHAnsi" w:hAnsiTheme="minorHAnsi" w:cs="Calibri"/>
          <w:sz w:val="21"/>
          <w:szCs w:val="21"/>
          <w:lang w:val="de-AT" w:eastAsia="en-US"/>
        </w:rPr>
        <w:t xml:space="preserve"> betonte: „Der Tourismus ist ein wesentlicher Wirtschaftszweig für die Europäische Union im Allgemeinen und für Tirol im Besonderen. Ich bin froh, dass EU-Kommissar Apostolos </w:t>
      </w:r>
      <w:proofErr w:type="spellStart"/>
      <w:r w:rsidRPr="00E86A54">
        <w:rPr>
          <w:rFonts w:asciiTheme="minorHAnsi" w:eastAsiaTheme="minorHAnsi" w:hAnsiTheme="minorHAnsi" w:cs="Calibri"/>
          <w:sz w:val="21"/>
          <w:szCs w:val="21"/>
          <w:lang w:val="de-AT" w:eastAsia="en-US"/>
        </w:rPr>
        <w:t>Tzitzikostas</w:t>
      </w:r>
      <w:proofErr w:type="spellEnd"/>
      <w:r w:rsidRPr="00E86A54">
        <w:rPr>
          <w:rFonts w:asciiTheme="minorHAnsi" w:eastAsiaTheme="minorHAnsi" w:hAnsiTheme="minorHAnsi" w:cs="Calibri"/>
          <w:sz w:val="21"/>
          <w:szCs w:val="21"/>
          <w:lang w:val="de-AT" w:eastAsia="en-US"/>
        </w:rPr>
        <w:t xml:space="preserve"> meine Einladung angenommen hat und wir über den europäischen Tourismus und die regionalen Chancen sowie Herausforderungen diskutieren konnten. Ich habe das Gespräch mit dem EU-Tourismuskommissar genützt, um mich für die </w:t>
      </w:r>
      <w:proofErr w:type="spellStart"/>
      <w:r w:rsidRPr="00E86A54">
        <w:rPr>
          <w:rFonts w:asciiTheme="minorHAnsi" w:eastAsiaTheme="minorHAnsi" w:hAnsiTheme="minorHAnsi" w:cs="Calibri"/>
          <w:sz w:val="21"/>
          <w:szCs w:val="21"/>
          <w:lang w:val="de-AT" w:eastAsia="en-US"/>
        </w:rPr>
        <w:t>Einheimischentarife</w:t>
      </w:r>
      <w:proofErr w:type="spellEnd"/>
      <w:r w:rsidRPr="00E86A54">
        <w:rPr>
          <w:rFonts w:asciiTheme="minorHAnsi" w:eastAsiaTheme="minorHAnsi" w:hAnsiTheme="minorHAnsi" w:cs="Calibri"/>
          <w:sz w:val="21"/>
          <w:szCs w:val="21"/>
          <w:lang w:val="de-AT" w:eastAsia="en-US"/>
        </w:rPr>
        <w:t xml:space="preserve"> stark zu machen. Leistbare Freizeitaktivitäten sind kein Privileg, sondern eine gerechte Anerkennung. Ohne die heimische Bevölkerung würde es die blühende Tourismusbranche nicht geben. Die Menschen, die hier leben, verdienen es, von diesem Wohlstand direkt zu profitieren. Vorteile für Einheimische sind keine Diskriminierung, sondern eine gerechte Anerkennung </w:t>
      </w:r>
      <w:r w:rsidRPr="00E86A54">
        <w:rPr>
          <w:rFonts w:asciiTheme="minorHAnsi" w:eastAsiaTheme="minorHAnsi" w:hAnsiTheme="minorHAnsi" w:cs="Calibri"/>
          <w:sz w:val="21"/>
          <w:szCs w:val="21"/>
          <w:lang w:val="de-AT" w:eastAsia="en-US"/>
        </w:rPr>
        <w:lastRenderedPageBreak/>
        <w:t xml:space="preserve">für die Gastfreundschaft in unserem Land. Die heimischen Betriebe suchen Wege, den Einheimischen vergünstigte Tarife und Angebote bieten zu können. Deshalb ist es wichtig, dass wir eine europäische Lösung zustande bringen, die die </w:t>
      </w:r>
      <w:proofErr w:type="spellStart"/>
      <w:r w:rsidRPr="00E86A54">
        <w:rPr>
          <w:rFonts w:asciiTheme="minorHAnsi" w:eastAsiaTheme="minorHAnsi" w:hAnsiTheme="minorHAnsi" w:cs="Calibri"/>
          <w:sz w:val="21"/>
          <w:szCs w:val="21"/>
          <w:lang w:val="de-AT" w:eastAsia="en-US"/>
        </w:rPr>
        <w:t>Einheimischentarife</w:t>
      </w:r>
      <w:proofErr w:type="spellEnd"/>
      <w:r w:rsidRPr="00E86A54">
        <w:rPr>
          <w:rFonts w:asciiTheme="minorHAnsi" w:eastAsiaTheme="minorHAnsi" w:hAnsiTheme="minorHAnsi" w:cs="Calibri"/>
          <w:sz w:val="21"/>
          <w:szCs w:val="21"/>
          <w:lang w:val="de-AT" w:eastAsia="en-US"/>
        </w:rPr>
        <w:t xml:space="preserve"> nicht als Diskriminierung abtut, sondern im Sinne der Tourismusakzeptanz zulässt.“</w:t>
      </w:r>
      <w:r w:rsidR="00B9727B">
        <w:rPr>
          <w:rFonts w:asciiTheme="minorHAnsi" w:eastAsiaTheme="minorHAnsi" w:hAnsiTheme="minorHAnsi" w:cs="Calibri"/>
          <w:sz w:val="21"/>
          <w:szCs w:val="21"/>
          <w:lang w:val="de-AT" w:eastAsia="en-US"/>
        </w:rPr>
        <w:br/>
      </w:r>
    </w:p>
    <w:p w14:paraId="0A4F0810" w14:textId="64281338" w:rsidR="007525C0" w:rsidRPr="00E86A54" w:rsidRDefault="007525C0" w:rsidP="00455712">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r w:rsidRPr="00E86A54">
        <w:rPr>
          <w:rFonts w:asciiTheme="minorHAnsi" w:eastAsiaTheme="minorHAnsi" w:hAnsiTheme="minorHAnsi" w:cs="Calibri"/>
          <w:sz w:val="21"/>
          <w:szCs w:val="21"/>
          <w:lang w:val="de-AT" w:eastAsia="en-US"/>
        </w:rPr>
        <w:t>EU-Kommissar</w:t>
      </w:r>
      <w:r w:rsidRPr="00E86A54">
        <w:rPr>
          <w:rFonts w:asciiTheme="minorHAnsi" w:eastAsiaTheme="minorHAnsi" w:hAnsiTheme="minorHAnsi" w:cs="Calibri"/>
          <w:b/>
          <w:bCs/>
          <w:sz w:val="21"/>
          <w:szCs w:val="21"/>
          <w:lang w:val="de-AT" w:eastAsia="en-US"/>
        </w:rPr>
        <w:t xml:space="preserve"> Apostolos </w:t>
      </w:r>
      <w:proofErr w:type="spellStart"/>
      <w:r w:rsidRPr="00E86A54">
        <w:rPr>
          <w:rFonts w:asciiTheme="minorHAnsi" w:eastAsiaTheme="minorHAnsi" w:hAnsiTheme="minorHAnsi" w:cs="Calibri"/>
          <w:b/>
          <w:bCs/>
          <w:sz w:val="21"/>
          <w:szCs w:val="21"/>
          <w:lang w:val="de-AT" w:eastAsia="en-US"/>
        </w:rPr>
        <w:t>Tzitzikostas</w:t>
      </w:r>
      <w:proofErr w:type="spellEnd"/>
      <w:r w:rsidRPr="00E86A54">
        <w:rPr>
          <w:rFonts w:asciiTheme="minorHAnsi" w:eastAsiaTheme="minorHAnsi" w:hAnsiTheme="minorHAnsi" w:cs="Calibri"/>
          <w:sz w:val="21"/>
          <w:szCs w:val="21"/>
          <w:lang w:val="de-AT" w:eastAsia="en-US"/>
        </w:rPr>
        <w:t> zu seinem Besuch in Tirol: „Mit seinen beeindruckenden Landschaften und seinem kulturellen Reichtum zählt Tirol zu den beliebtesten Reisezielen für Besucherinnen und Besucher aus aller Welt. Wichtig ist es aber, dass wir die Chancen und auch die Herausforderungen des europäischen Tourismus erkennen – von den Folgen des Klimawandels für den Wintertourismus über Staus, Lärm und Luftverschmutzung bis hin zu unausgewogenem Touristenaufkommen und Arbeitskräftemangel. Vor diesem Hintergrund arbeiten wir bereits an der ersten europäischen Tourismusstrategie. Unser Ziel ist es sicherzustellen, dass Wachstum im Einklang mit den lokalen Gemeinschaften stattfindet und dass möglichst viele an den Vorteilen des Tourismus teilhaben.“</w:t>
      </w:r>
      <w:r w:rsidR="00B9727B">
        <w:rPr>
          <w:rFonts w:asciiTheme="minorHAnsi" w:eastAsiaTheme="minorHAnsi" w:hAnsiTheme="minorHAnsi" w:cs="Calibri"/>
          <w:sz w:val="21"/>
          <w:szCs w:val="21"/>
          <w:lang w:val="de-AT" w:eastAsia="en-US"/>
        </w:rPr>
        <w:br/>
      </w:r>
    </w:p>
    <w:p w14:paraId="14F4FBF9" w14:textId="77777777" w:rsidR="007525C0" w:rsidRDefault="007525C0" w:rsidP="00455712">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r w:rsidRPr="00E86A54">
        <w:rPr>
          <w:rFonts w:asciiTheme="minorHAnsi" w:eastAsiaTheme="minorHAnsi" w:hAnsiTheme="minorHAnsi" w:cs="Calibri"/>
          <w:sz w:val="21"/>
          <w:szCs w:val="21"/>
          <w:lang w:val="de-AT" w:eastAsia="en-US"/>
        </w:rPr>
        <w:t>Der österreichische Bundesminister </w:t>
      </w:r>
      <w:r w:rsidRPr="00E86A54">
        <w:rPr>
          <w:rFonts w:asciiTheme="minorHAnsi" w:eastAsiaTheme="minorHAnsi" w:hAnsiTheme="minorHAnsi" w:cs="Calibri"/>
          <w:b/>
          <w:bCs/>
          <w:sz w:val="21"/>
          <w:szCs w:val="21"/>
          <w:lang w:val="de-AT" w:eastAsia="en-US"/>
        </w:rPr>
        <w:t>Peter Hanke</w:t>
      </w:r>
      <w:r w:rsidRPr="00E86A54">
        <w:rPr>
          <w:rFonts w:asciiTheme="minorHAnsi" w:eastAsiaTheme="minorHAnsi" w:hAnsiTheme="minorHAnsi" w:cs="Calibri"/>
          <w:sz w:val="21"/>
          <w:szCs w:val="21"/>
          <w:lang w:val="de-AT" w:eastAsia="en-US"/>
        </w:rPr>
        <w:t> und die österreichische Tourismus-Staatssekretärin </w:t>
      </w:r>
      <w:r w:rsidRPr="00E86A54">
        <w:rPr>
          <w:rFonts w:asciiTheme="minorHAnsi" w:eastAsiaTheme="minorHAnsi" w:hAnsiTheme="minorHAnsi" w:cs="Calibri"/>
          <w:b/>
          <w:bCs/>
          <w:sz w:val="21"/>
          <w:szCs w:val="21"/>
          <w:lang w:val="de-AT" w:eastAsia="en-US"/>
        </w:rPr>
        <w:t>Elisabeth Zehetner</w:t>
      </w:r>
      <w:r w:rsidRPr="00E86A54">
        <w:rPr>
          <w:rFonts w:asciiTheme="minorHAnsi" w:eastAsiaTheme="minorHAnsi" w:hAnsiTheme="minorHAnsi" w:cs="Calibri"/>
          <w:sz w:val="21"/>
          <w:szCs w:val="21"/>
          <w:lang w:val="de-AT" w:eastAsia="en-US"/>
        </w:rPr>
        <w:t> legten im Rahmen der Veranstaltung den Fokus auf die Themen Mobilität und Tourismusakzeptanz. Hanke betonte: „Wir müssen in den Regionen voneinander lernen und haben einen gemeinsamen Auftrag in Europa. Unser Ziel ist es, nachhaltige, effiziente und technologisch fortschrittliche Mobilitätslösungen voranzutreiben – dazu braucht es den Austausch zwischen Politik, Wirtschaft und Wissenschaft auf allen Ebenen.“ Zehetner ging auf die Ergebnisse einer aktuellen Studie zur Tourismusakzeptanz der STATISTIK AUSTRIA ein: „Die große Mehrheit der Österreicherinnen und Österreicher sieht den Tourismus als wichtigen Teil unserer Gesellschaft, Wirtschaft und Regionen. Nur wenige äußern sich kritisch. Das zeigt: Die Akzeptanz ist hoch und gibt uns Rückenwind – für die Branche, für die Regionen und für unsere Tourismuspolitik.“</w:t>
      </w:r>
    </w:p>
    <w:p w14:paraId="04DE2FCE" w14:textId="77777777" w:rsidR="00B9727B" w:rsidRDefault="00B9727B" w:rsidP="00455712">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p>
    <w:p w14:paraId="1AC229FD" w14:textId="642EEF1A" w:rsidR="00D15F20" w:rsidRPr="00D15F20" w:rsidRDefault="00D15F20" w:rsidP="00D15F20">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r w:rsidRPr="00D15F20">
        <w:rPr>
          <w:rFonts w:asciiTheme="minorHAnsi" w:eastAsiaTheme="minorHAnsi" w:hAnsiTheme="minorHAnsi" w:cs="Calibri"/>
          <w:sz w:val="21"/>
          <w:szCs w:val="21"/>
          <w:lang w:val="de-AT" w:eastAsia="en-US"/>
        </w:rPr>
        <w:t>Tirols Tourismus- und Wirtschaftslandesrat </w:t>
      </w:r>
      <w:r w:rsidRPr="00D15F20">
        <w:rPr>
          <w:rFonts w:asciiTheme="minorHAnsi" w:eastAsiaTheme="minorHAnsi" w:hAnsiTheme="minorHAnsi" w:cs="Calibri"/>
          <w:b/>
          <w:bCs/>
          <w:sz w:val="21"/>
          <w:szCs w:val="21"/>
          <w:lang w:val="de-AT" w:eastAsia="en-US"/>
        </w:rPr>
        <w:t>Mario Gerber</w:t>
      </w:r>
      <w:r w:rsidRPr="00D15F20">
        <w:rPr>
          <w:rFonts w:asciiTheme="minorHAnsi" w:eastAsiaTheme="minorHAnsi" w:hAnsiTheme="minorHAnsi" w:cs="Calibri"/>
          <w:sz w:val="21"/>
          <w:szCs w:val="21"/>
          <w:lang w:val="de-AT" w:eastAsia="en-US"/>
        </w:rPr>
        <w:t xml:space="preserve"> setzte ein klares Signal für die Anliegen der Tiroler Bevölkerung: „Wir setzen uns mit Nachdruck für eine Lösung ein, die den Bedürfnissen der lokalen Bevölkerung gerecht wird. Ziel ist es, faire Zugänge zu Freizeit- und Tourismusangeboten sicherzustellen, ohne gegen europäische Vorgaben zu verstoßen. Die </w:t>
      </w:r>
      <w:proofErr w:type="spellStart"/>
      <w:r w:rsidRPr="00D15F20">
        <w:rPr>
          <w:rFonts w:asciiTheme="minorHAnsi" w:eastAsiaTheme="minorHAnsi" w:hAnsiTheme="minorHAnsi" w:cs="Calibri"/>
          <w:sz w:val="21"/>
          <w:szCs w:val="21"/>
          <w:lang w:val="de-AT" w:eastAsia="en-US"/>
        </w:rPr>
        <w:t>Einheimischentarife</w:t>
      </w:r>
      <w:proofErr w:type="spellEnd"/>
      <w:r w:rsidRPr="00D15F20">
        <w:rPr>
          <w:rFonts w:asciiTheme="minorHAnsi" w:eastAsiaTheme="minorHAnsi" w:hAnsiTheme="minorHAnsi" w:cs="Calibri"/>
          <w:sz w:val="21"/>
          <w:szCs w:val="21"/>
          <w:lang w:val="de-AT" w:eastAsia="en-US"/>
        </w:rPr>
        <w:t xml:space="preserve"> sind für viele Tirolerinnen und Tiroler mehr als ein finanzieller Vorteil – sie sind Ausdruck der Wertschätzung für die Menschen, die das touristische Angebot mittragen und mitgestalten.“</w:t>
      </w:r>
      <w:r>
        <w:rPr>
          <w:rFonts w:asciiTheme="minorHAnsi" w:eastAsiaTheme="minorHAnsi" w:hAnsiTheme="minorHAnsi" w:cs="Calibri"/>
          <w:sz w:val="21"/>
          <w:szCs w:val="21"/>
          <w:lang w:val="de-AT" w:eastAsia="en-US"/>
        </w:rPr>
        <w:br/>
      </w:r>
    </w:p>
    <w:p w14:paraId="25D192DF" w14:textId="779798CD" w:rsidR="00D15F20" w:rsidRPr="00D15F20" w:rsidRDefault="00D15F20" w:rsidP="00D15F20">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r w:rsidRPr="00D15F20">
        <w:rPr>
          <w:rFonts w:asciiTheme="minorHAnsi" w:eastAsiaTheme="minorHAnsi" w:hAnsiTheme="minorHAnsi" w:cs="Calibri"/>
          <w:b/>
          <w:bCs/>
          <w:sz w:val="21"/>
          <w:szCs w:val="21"/>
          <w:lang w:val="de-AT" w:eastAsia="en-US"/>
        </w:rPr>
        <w:lastRenderedPageBreak/>
        <w:t>Martin Reiter</w:t>
      </w:r>
      <w:r w:rsidRPr="00D15F20">
        <w:rPr>
          <w:rFonts w:asciiTheme="minorHAnsi" w:eastAsiaTheme="minorHAnsi" w:hAnsiTheme="minorHAnsi" w:cs="Calibri"/>
          <w:sz w:val="21"/>
          <w:szCs w:val="21"/>
          <w:lang w:val="de-AT" w:eastAsia="en-US"/>
        </w:rPr>
        <w:t xml:space="preserve">, Geschäftsführer der Lebensraum Tirol Holding, freute sich, dass sich Tirol anlässlich des Besuchs des EU-Kommissars von seinen besten Seiten präsentieren konnte: „Tirol zählt zu den stärksten Wirtschafts- und Tourismusregionen Europas. Die Vernetzung und Kooperation auf höchster europäischer Ebene </w:t>
      </w:r>
      <w:proofErr w:type="gramStart"/>
      <w:r w:rsidRPr="00D15F20">
        <w:rPr>
          <w:rFonts w:asciiTheme="minorHAnsi" w:eastAsiaTheme="minorHAnsi" w:hAnsiTheme="minorHAnsi" w:cs="Calibri"/>
          <w:sz w:val="21"/>
          <w:szCs w:val="21"/>
          <w:lang w:val="de-AT" w:eastAsia="en-US"/>
        </w:rPr>
        <w:t>ist</w:t>
      </w:r>
      <w:proofErr w:type="gramEnd"/>
      <w:r w:rsidRPr="00D15F20">
        <w:rPr>
          <w:rFonts w:asciiTheme="minorHAnsi" w:eastAsiaTheme="minorHAnsi" w:hAnsiTheme="minorHAnsi" w:cs="Calibri"/>
          <w:sz w:val="21"/>
          <w:szCs w:val="21"/>
          <w:lang w:val="de-AT" w:eastAsia="en-US"/>
        </w:rPr>
        <w:t xml:space="preserve"> essenziell für unseren Lebensraum, um unsere nachhaltige Entwicklung unter der Marke Tirol und deren Spitzenleistungen konsequent weiterzuentwickeln.“</w:t>
      </w:r>
      <w:r>
        <w:rPr>
          <w:rFonts w:asciiTheme="minorHAnsi" w:eastAsiaTheme="minorHAnsi" w:hAnsiTheme="minorHAnsi" w:cs="Calibri"/>
          <w:sz w:val="21"/>
          <w:szCs w:val="21"/>
          <w:lang w:val="de-AT" w:eastAsia="en-US"/>
        </w:rPr>
        <w:br/>
      </w:r>
    </w:p>
    <w:p w14:paraId="73FC452F" w14:textId="2E3B49C1" w:rsidR="00D15F20" w:rsidRPr="00D15F20" w:rsidRDefault="00D15F20" w:rsidP="00D15F20">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r w:rsidRPr="00D15F20">
        <w:rPr>
          <w:rFonts w:asciiTheme="minorHAnsi" w:eastAsiaTheme="minorHAnsi" w:hAnsiTheme="minorHAnsi" w:cs="Calibri"/>
          <w:b/>
          <w:bCs/>
          <w:sz w:val="21"/>
          <w:szCs w:val="21"/>
          <w:lang w:val="de-AT" w:eastAsia="en-US"/>
        </w:rPr>
        <w:t>Karin Seiler</w:t>
      </w:r>
      <w:r w:rsidRPr="00D15F20">
        <w:rPr>
          <w:rFonts w:asciiTheme="minorHAnsi" w:eastAsiaTheme="minorHAnsi" w:hAnsiTheme="minorHAnsi" w:cs="Calibri"/>
          <w:sz w:val="21"/>
          <w:szCs w:val="21"/>
          <w:lang w:val="de-AT" w:eastAsia="en-US"/>
        </w:rPr>
        <w:t xml:space="preserve">, Geschäftsführerin der Tirol Werbung, ging auf die führende Rolle Tirols ein: „Nachhaltigkeit wird in Tirol gelebt, etwa mit den vor drei Jahren eingeführten </w:t>
      </w:r>
      <w:proofErr w:type="spellStart"/>
      <w:proofErr w:type="gramStart"/>
      <w:r w:rsidRPr="00D15F20">
        <w:rPr>
          <w:rFonts w:asciiTheme="minorHAnsi" w:eastAsiaTheme="minorHAnsi" w:hAnsiTheme="minorHAnsi" w:cs="Calibri"/>
          <w:sz w:val="21"/>
          <w:szCs w:val="21"/>
          <w:lang w:val="de-AT" w:eastAsia="en-US"/>
        </w:rPr>
        <w:t>Nachhaltigkeitskoordinator:innen</w:t>
      </w:r>
      <w:proofErr w:type="spellEnd"/>
      <w:proofErr w:type="gramEnd"/>
      <w:r w:rsidRPr="00D15F20">
        <w:rPr>
          <w:rFonts w:asciiTheme="minorHAnsi" w:eastAsiaTheme="minorHAnsi" w:hAnsiTheme="minorHAnsi" w:cs="Calibri"/>
          <w:sz w:val="21"/>
          <w:szCs w:val="21"/>
          <w:lang w:val="de-AT" w:eastAsia="en-US"/>
        </w:rPr>
        <w:t xml:space="preserve"> in allen Tiroler Tourismusverbänden. Fünf Tiroler Regionen und 118 Betriebe wurden bereits mit dem </w:t>
      </w:r>
      <w:proofErr w:type="gramStart"/>
      <w:r w:rsidRPr="00D15F20">
        <w:rPr>
          <w:rFonts w:asciiTheme="minorHAnsi" w:eastAsiaTheme="minorHAnsi" w:hAnsiTheme="minorHAnsi" w:cs="Calibri"/>
          <w:sz w:val="21"/>
          <w:szCs w:val="21"/>
          <w:lang w:val="de-AT" w:eastAsia="en-US"/>
        </w:rPr>
        <w:t>Österreichischen</w:t>
      </w:r>
      <w:proofErr w:type="gramEnd"/>
      <w:r w:rsidRPr="00D15F20">
        <w:rPr>
          <w:rFonts w:asciiTheme="minorHAnsi" w:eastAsiaTheme="minorHAnsi" w:hAnsiTheme="minorHAnsi" w:cs="Calibri"/>
          <w:sz w:val="21"/>
          <w:szCs w:val="21"/>
          <w:lang w:val="de-AT" w:eastAsia="en-US"/>
        </w:rPr>
        <w:t xml:space="preserve"> Umweltzeichen zertifiziert. Besonders erfreulich ist, dass uns laut einer aktuellen Umfrage 71 Prozent unserer deutschen Gäste als Vorreiter im Alpenraum in Sachen Nachhaltigkeit betrachten.“</w:t>
      </w:r>
      <w:r>
        <w:rPr>
          <w:rFonts w:asciiTheme="minorHAnsi" w:eastAsiaTheme="minorHAnsi" w:hAnsiTheme="minorHAnsi" w:cs="Calibri"/>
          <w:sz w:val="21"/>
          <w:szCs w:val="21"/>
          <w:lang w:val="de-AT" w:eastAsia="en-US"/>
        </w:rPr>
        <w:br/>
      </w:r>
    </w:p>
    <w:p w14:paraId="2FF7038D" w14:textId="0DCDE0F2" w:rsidR="00D15F20" w:rsidRPr="00D15F20" w:rsidRDefault="00D15F20" w:rsidP="00D15F20">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r w:rsidRPr="00D15F20">
        <w:rPr>
          <w:rFonts w:asciiTheme="minorHAnsi" w:eastAsiaTheme="minorHAnsi" w:hAnsiTheme="minorHAnsi" w:cs="Calibri"/>
          <w:b/>
          <w:bCs/>
          <w:sz w:val="21"/>
          <w:szCs w:val="21"/>
          <w:lang w:val="de-AT" w:eastAsia="en-US"/>
        </w:rPr>
        <w:t xml:space="preserve">Stefan </w:t>
      </w:r>
      <w:proofErr w:type="spellStart"/>
      <w:r w:rsidRPr="00D15F20">
        <w:rPr>
          <w:rFonts w:asciiTheme="minorHAnsi" w:eastAsiaTheme="minorHAnsi" w:hAnsiTheme="minorHAnsi" w:cs="Calibri"/>
          <w:b/>
          <w:bCs/>
          <w:sz w:val="21"/>
          <w:szCs w:val="21"/>
          <w:lang w:val="de-AT" w:eastAsia="en-US"/>
        </w:rPr>
        <w:t>Schnöll</w:t>
      </w:r>
      <w:proofErr w:type="spellEnd"/>
      <w:r w:rsidRPr="00D15F20">
        <w:rPr>
          <w:rFonts w:asciiTheme="minorHAnsi" w:eastAsiaTheme="minorHAnsi" w:hAnsiTheme="minorHAnsi" w:cs="Calibri"/>
          <w:sz w:val="21"/>
          <w:szCs w:val="21"/>
          <w:lang w:val="de-AT" w:eastAsia="en-US"/>
        </w:rPr>
        <w:t>, Landeshauptfrau-Stellvertreter von Salzburg, freute sich über den Besuch in Tirol: „Tirol und Salzburg verbindet die Überzeugung, dass der nachhaltige Tourismus die tragende Säule unserer wirtschaftlichen Entwicklung ist.“</w:t>
      </w:r>
      <w:r>
        <w:rPr>
          <w:rFonts w:asciiTheme="minorHAnsi" w:eastAsiaTheme="minorHAnsi" w:hAnsiTheme="minorHAnsi" w:cs="Calibri"/>
          <w:sz w:val="21"/>
          <w:szCs w:val="21"/>
          <w:lang w:val="de-AT" w:eastAsia="en-US"/>
        </w:rPr>
        <w:br/>
      </w:r>
    </w:p>
    <w:p w14:paraId="32500C38" w14:textId="77777777" w:rsidR="00D15F20" w:rsidRPr="00D15F20" w:rsidRDefault="00D15F20" w:rsidP="00D15F20">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r w:rsidRPr="00D15F20">
        <w:rPr>
          <w:rFonts w:asciiTheme="minorHAnsi" w:eastAsiaTheme="minorHAnsi" w:hAnsiTheme="minorHAnsi" w:cs="Calibri"/>
          <w:sz w:val="21"/>
          <w:szCs w:val="21"/>
          <w:lang w:val="de-AT" w:eastAsia="en-US"/>
        </w:rPr>
        <w:t xml:space="preserve">Der offizielle Teil der Veranstaltung, die rund 100 </w:t>
      </w:r>
      <w:proofErr w:type="spellStart"/>
      <w:proofErr w:type="gramStart"/>
      <w:r w:rsidRPr="00D15F20">
        <w:rPr>
          <w:rFonts w:asciiTheme="minorHAnsi" w:eastAsiaTheme="minorHAnsi" w:hAnsiTheme="minorHAnsi" w:cs="Calibri"/>
          <w:sz w:val="21"/>
          <w:szCs w:val="21"/>
          <w:lang w:val="de-AT" w:eastAsia="en-US"/>
        </w:rPr>
        <w:t>Expert:innen</w:t>
      </w:r>
      <w:proofErr w:type="spellEnd"/>
      <w:proofErr w:type="gramEnd"/>
      <w:r w:rsidRPr="00D15F20">
        <w:rPr>
          <w:rFonts w:asciiTheme="minorHAnsi" w:eastAsiaTheme="minorHAnsi" w:hAnsiTheme="minorHAnsi" w:cs="Calibri"/>
          <w:sz w:val="21"/>
          <w:szCs w:val="21"/>
          <w:lang w:val="de-AT" w:eastAsia="en-US"/>
        </w:rPr>
        <w:t xml:space="preserve"> aus Wirtschaft, Tourismus und Wissenschaft auf der Villa Blanka in Innsbruck versammelte, wurde mit weiteren Expertenstatements unter anderem von </w:t>
      </w:r>
      <w:r w:rsidRPr="00D15F20">
        <w:rPr>
          <w:rFonts w:asciiTheme="minorHAnsi" w:eastAsiaTheme="minorHAnsi" w:hAnsiTheme="minorHAnsi" w:cs="Calibri"/>
          <w:b/>
          <w:bCs/>
          <w:sz w:val="21"/>
          <w:szCs w:val="21"/>
          <w:lang w:val="de-AT" w:eastAsia="en-US"/>
        </w:rPr>
        <w:t>Reinhard Klier </w:t>
      </w:r>
      <w:r w:rsidRPr="00D15F20">
        <w:rPr>
          <w:rFonts w:asciiTheme="minorHAnsi" w:eastAsiaTheme="minorHAnsi" w:hAnsiTheme="minorHAnsi" w:cs="Calibri"/>
          <w:sz w:val="21"/>
          <w:szCs w:val="21"/>
          <w:lang w:val="de-AT" w:eastAsia="en-US"/>
        </w:rPr>
        <w:t>(Seilbahnsprecher Tirol), und </w:t>
      </w:r>
      <w:r w:rsidRPr="00D15F20">
        <w:rPr>
          <w:rFonts w:asciiTheme="minorHAnsi" w:eastAsiaTheme="minorHAnsi" w:hAnsiTheme="minorHAnsi" w:cs="Calibri"/>
          <w:b/>
          <w:bCs/>
          <w:sz w:val="21"/>
          <w:szCs w:val="21"/>
          <w:lang w:val="de-AT" w:eastAsia="en-US"/>
        </w:rPr>
        <w:t>Hubert Siller</w:t>
      </w:r>
      <w:r w:rsidRPr="00D15F20">
        <w:rPr>
          <w:rFonts w:asciiTheme="minorHAnsi" w:eastAsiaTheme="minorHAnsi" w:hAnsiTheme="minorHAnsi" w:cs="Calibri"/>
          <w:sz w:val="21"/>
          <w:szCs w:val="21"/>
          <w:lang w:val="de-AT" w:eastAsia="en-US"/>
        </w:rPr>
        <w:t> (Leiter des MCI Tourismus) ergänzt.  </w:t>
      </w:r>
    </w:p>
    <w:p w14:paraId="5B129E83" w14:textId="77777777" w:rsidR="00B9727B" w:rsidRPr="00D15F20" w:rsidRDefault="00B9727B" w:rsidP="00455712">
      <w:pPr>
        <w:pStyle w:val="StandardWeb"/>
        <w:shd w:val="clear" w:color="auto" w:fill="FFFFFF"/>
        <w:spacing w:before="0" w:beforeAutospacing="0" w:after="0" w:afterAutospacing="0" w:line="360" w:lineRule="auto"/>
        <w:textAlignment w:val="baseline"/>
        <w:rPr>
          <w:rFonts w:asciiTheme="minorHAnsi" w:eastAsiaTheme="minorHAnsi" w:hAnsiTheme="minorHAnsi" w:cs="Calibri"/>
          <w:sz w:val="21"/>
          <w:szCs w:val="21"/>
          <w:lang w:val="de-AT" w:eastAsia="en-US"/>
        </w:rPr>
      </w:pPr>
    </w:p>
    <w:p w14:paraId="74F5F23E" w14:textId="77BB3864" w:rsidR="00A83D09" w:rsidRPr="007E4456" w:rsidRDefault="00A83D09" w:rsidP="00455712">
      <w:pPr>
        <w:spacing w:line="360" w:lineRule="auto"/>
        <w:rPr>
          <w:rFonts w:cs="Calibri"/>
        </w:rPr>
      </w:pPr>
      <w:r>
        <w:tab/>
      </w:r>
      <w: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4E79C2" w:rsidRPr="00A83D09" w14:paraId="4DBF4D0B" w14:textId="77777777" w:rsidTr="0075568F">
        <w:trPr>
          <w:trHeight w:val="300"/>
          <w:jc w:val="right"/>
        </w:trPr>
        <w:tc>
          <w:tcPr>
            <w:tcW w:w="4005" w:type="dxa"/>
            <w:tcBorders>
              <w:top w:val="nil"/>
              <w:left w:val="nil"/>
              <w:bottom w:val="nil"/>
              <w:right w:val="nil"/>
            </w:tcBorders>
            <w:shd w:val="clear" w:color="auto" w:fill="auto"/>
            <w:hideMark/>
          </w:tcPr>
          <w:p w14:paraId="2957B163" w14:textId="2FA9923B"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00626351" w:rsidRPr="00873CDA">
              <w:rPr>
                <w:rFonts w:ascii="Georgia" w:eastAsia="Times New Roman" w:hAnsi="Georgia" w:cs="Times New Roman"/>
                <w:b/>
                <w:bCs/>
                <w:sz w:val="16"/>
                <w:szCs w:val="16"/>
                <w:lang w:eastAsia="de-DE"/>
              </w:rPr>
              <w:t>Julia Pahl</w:t>
            </w:r>
            <w:r w:rsidR="00626351">
              <w:rPr>
                <w:rFonts w:ascii="Times New Roman" w:eastAsia="Times New Roman" w:hAnsi="Times New Roman" w:cs="Times New Roman"/>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243CFD5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2CF5B9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7FA05D9"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76AB488" w14:textId="77777777" w:rsidTr="0075568F">
        <w:trPr>
          <w:trHeight w:val="300"/>
          <w:jc w:val="right"/>
        </w:trPr>
        <w:tc>
          <w:tcPr>
            <w:tcW w:w="4005" w:type="dxa"/>
            <w:tcBorders>
              <w:top w:val="nil"/>
              <w:left w:val="nil"/>
              <w:bottom w:val="nil"/>
              <w:right w:val="nil"/>
            </w:tcBorders>
            <w:shd w:val="clear" w:color="auto" w:fill="auto"/>
            <w:hideMark/>
          </w:tcPr>
          <w:p w14:paraId="3EFB788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504BFBEE"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0E0CC357"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1AAE86F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7CB1E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EC2EF7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1BD9897" w14:textId="77777777" w:rsidTr="0075568F">
        <w:trPr>
          <w:trHeight w:val="300"/>
          <w:jc w:val="right"/>
        </w:trPr>
        <w:tc>
          <w:tcPr>
            <w:tcW w:w="4005" w:type="dxa"/>
            <w:tcBorders>
              <w:top w:val="nil"/>
              <w:left w:val="nil"/>
              <w:bottom w:val="nil"/>
              <w:right w:val="nil"/>
            </w:tcBorders>
            <w:shd w:val="clear" w:color="auto" w:fill="auto"/>
            <w:hideMark/>
          </w:tcPr>
          <w:p w14:paraId="239C6D45" w14:textId="6EAF6279"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w:t>
            </w:r>
            <w:r w:rsidR="00626351">
              <w:rPr>
                <w:rFonts w:ascii="Georgia" w:eastAsia="Times New Roman" w:hAnsi="Georgia" w:cs="Segoe UI"/>
                <w:sz w:val="16"/>
                <w:szCs w:val="16"/>
                <w:lang w:eastAsia="de-DE"/>
              </w:rPr>
              <w:t>71</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318BBD2"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6EA3345"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4E79C2" w:rsidRPr="00A83D09" w14:paraId="43089B3C" w14:textId="77777777" w:rsidTr="0075568F">
        <w:trPr>
          <w:trHeight w:val="300"/>
          <w:jc w:val="right"/>
        </w:trPr>
        <w:tc>
          <w:tcPr>
            <w:tcW w:w="4005" w:type="dxa"/>
            <w:tcBorders>
              <w:top w:val="nil"/>
              <w:left w:val="nil"/>
              <w:bottom w:val="nil"/>
              <w:right w:val="nil"/>
            </w:tcBorders>
            <w:shd w:val="clear" w:color="auto" w:fill="auto"/>
            <w:hideMark/>
          </w:tcPr>
          <w:p w14:paraId="61938702" w14:textId="3779F5FD"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w:t>
            </w:r>
            <w:r w:rsidR="00626351">
              <w:rPr>
                <w:rFonts w:ascii="Georgia" w:eastAsia="Times New Roman" w:hAnsi="Georgia" w:cs="Segoe UI"/>
                <w:sz w:val="16"/>
                <w:szCs w:val="16"/>
                <w:lang w:eastAsia="de-DE"/>
              </w:rPr>
              <w:t>71</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AF53BB"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82C356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4E79C2" w:rsidRPr="00A83D09" w14:paraId="32C3097C" w14:textId="77777777" w:rsidTr="0075568F">
        <w:trPr>
          <w:trHeight w:val="300"/>
          <w:jc w:val="right"/>
        </w:trPr>
        <w:tc>
          <w:tcPr>
            <w:tcW w:w="4005" w:type="dxa"/>
            <w:tcBorders>
              <w:top w:val="nil"/>
              <w:left w:val="nil"/>
              <w:bottom w:val="nil"/>
              <w:right w:val="nil"/>
            </w:tcBorders>
            <w:shd w:val="clear" w:color="auto" w:fill="auto"/>
            <w:hideMark/>
          </w:tcPr>
          <w:p w14:paraId="3C383433" w14:textId="0A9FF918"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00626351" w:rsidRPr="00873CDA">
              <w:rPr>
                <w:rFonts w:ascii="Georgia" w:eastAsia="Times New Roman" w:hAnsi="Georgia" w:cs="Times New Roman"/>
                <w:sz w:val="16"/>
                <w:szCs w:val="16"/>
                <w:lang w:eastAsia="de-DE"/>
              </w:rPr>
              <w:t>julia.pahl</w:t>
            </w:r>
            <w:r w:rsidRPr="00873CDA">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337557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0CD7181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5C70DEC8" w14:textId="77777777" w:rsidR="00BD2A1B" w:rsidRPr="000950FD" w:rsidRDefault="00BD2A1B" w:rsidP="00AD6928">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3421" w14:textId="77777777" w:rsidR="001178D3" w:rsidRDefault="001178D3" w:rsidP="00507D79">
      <w:pPr>
        <w:spacing w:after="0" w:line="240" w:lineRule="auto"/>
      </w:pPr>
      <w:r>
        <w:separator/>
      </w:r>
    </w:p>
  </w:endnote>
  <w:endnote w:type="continuationSeparator" w:id="0">
    <w:p w14:paraId="6B8AFB21" w14:textId="77777777" w:rsidR="001178D3" w:rsidRDefault="001178D3"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494DF0">
            <w:fldChar w:fldCharType="begin"/>
          </w:r>
          <w:r w:rsidR="00494DF0">
            <w:instrText xml:space="preserve"> NUMPAGES  \* Arabic  \* MERGEFORMAT </w:instrText>
          </w:r>
          <w:r w:rsidR="00494DF0">
            <w:fldChar w:fldCharType="separate"/>
          </w:r>
          <w:r>
            <w:t>2</w:t>
          </w:r>
          <w:r w:rsidR="00494DF0">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CAA" w14:textId="77777777" w:rsidR="001178D3" w:rsidRDefault="001178D3" w:rsidP="00507D79">
      <w:pPr>
        <w:spacing w:after="0" w:line="240" w:lineRule="auto"/>
      </w:pPr>
      <w:r>
        <w:separator/>
      </w:r>
    </w:p>
  </w:footnote>
  <w:footnote w:type="continuationSeparator" w:id="0">
    <w:p w14:paraId="06B873A9" w14:textId="77777777" w:rsidR="001178D3" w:rsidRDefault="001178D3"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11619"/>
    <w:rsid w:val="000244B5"/>
    <w:rsid w:val="000356BA"/>
    <w:rsid w:val="00035B3A"/>
    <w:rsid w:val="000425FB"/>
    <w:rsid w:val="000449BA"/>
    <w:rsid w:val="000471D0"/>
    <w:rsid w:val="00050A9F"/>
    <w:rsid w:val="00062241"/>
    <w:rsid w:val="00067FB0"/>
    <w:rsid w:val="00074F76"/>
    <w:rsid w:val="00081E42"/>
    <w:rsid w:val="00087373"/>
    <w:rsid w:val="00090F32"/>
    <w:rsid w:val="00091ADC"/>
    <w:rsid w:val="000950FD"/>
    <w:rsid w:val="000A3FB0"/>
    <w:rsid w:val="000A73FA"/>
    <w:rsid w:val="000C1FDA"/>
    <w:rsid w:val="000D0F93"/>
    <w:rsid w:val="000D6A64"/>
    <w:rsid w:val="000E11A5"/>
    <w:rsid w:val="00117358"/>
    <w:rsid w:val="001178D3"/>
    <w:rsid w:val="00135D84"/>
    <w:rsid w:val="001440F8"/>
    <w:rsid w:val="00145E27"/>
    <w:rsid w:val="001547FE"/>
    <w:rsid w:val="00166666"/>
    <w:rsid w:val="00171526"/>
    <w:rsid w:val="001732A3"/>
    <w:rsid w:val="00176A06"/>
    <w:rsid w:val="00177C4B"/>
    <w:rsid w:val="0018143D"/>
    <w:rsid w:val="001A1B92"/>
    <w:rsid w:val="001A538C"/>
    <w:rsid w:val="001B0E19"/>
    <w:rsid w:val="001B59EE"/>
    <w:rsid w:val="001B68A6"/>
    <w:rsid w:val="001C5CD1"/>
    <w:rsid w:val="001D1C7B"/>
    <w:rsid w:val="001D68C2"/>
    <w:rsid w:val="001E30CC"/>
    <w:rsid w:val="0020467B"/>
    <w:rsid w:val="00204C78"/>
    <w:rsid w:val="00215DBA"/>
    <w:rsid w:val="00221519"/>
    <w:rsid w:val="00221661"/>
    <w:rsid w:val="00221FF8"/>
    <w:rsid w:val="002375AA"/>
    <w:rsid w:val="00240AA7"/>
    <w:rsid w:val="002434FD"/>
    <w:rsid w:val="002479C0"/>
    <w:rsid w:val="00253E02"/>
    <w:rsid w:val="00263F12"/>
    <w:rsid w:val="0027109C"/>
    <w:rsid w:val="0027231D"/>
    <w:rsid w:val="002723E2"/>
    <w:rsid w:val="0028576E"/>
    <w:rsid w:val="00286D8A"/>
    <w:rsid w:val="00293445"/>
    <w:rsid w:val="002A1D8E"/>
    <w:rsid w:val="002A1DA2"/>
    <w:rsid w:val="002A58C2"/>
    <w:rsid w:val="002B41B0"/>
    <w:rsid w:val="002D3BCD"/>
    <w:rsid w:val="002D653B"/>
    <w:rsid w:val="002E1902"/>
    <w:rsid w:val="002E2549"/>
    <w:rsid w:val="002E403A"/>
    <w:rsid w:val="002E67E2"/>
    <w:rsid w:val="002E75D4"/>
    <w:rsid w:val="003050BA"/>
    <w:rsid w:val="00326C35"/>
    <w:rsid w:val="003445CB"/>
    <w:rsid w:val="003519DB"/>
    <w:rsid w:val="003568EF"/>
    <w:rsid w:val="00361397"/>
    <w:rsid w:val="0036485D"/>
    <w:rsid w:val="00367517"/>
    <w:rsid w:val="003763A0"/>
    <w:rsid w:val="003810F9"/>
    <w:rsid w:val="00391B14"/>
    <w:rsid w:val="003A0D11"/>
    <w:rsid w:val="003A1899"/>
    <w:rsid w:val="003C4C3F"/>
    <w:rsid w:val="003C56E1"/>
    <w:rsid w:val="003E02E6"/>
    <w:rsid w:val="003E238D"/>
    <w:rsid w:val="003F3B82"/>
    <w:rsid w:val="003F3C3B"/>
    <w:rsid w:val="003F5D17"/>
    <w:rsid w:val="00401D2E"/>
    <w:rsid w:val="00406F46"/>
    <w:rsid w:val="00425694"/>
    <w:rsid w:val="00432618"/>
    <w:rsid w:val="00441A7F"/>
    <w:rsid w:val="0044434F"/>
    <w:rsid w:val="00455712"/>
    <w:rsid w:val="0046611C"/>
    <w:rsid w:val="0047109A"/>
    <w:rsid w:val="004758EF"/>
    <w:rsid w:val="004853CB"/>
    <w:rsid w:val="00492059"/>
    <w:rsid w:val="00493570"/>
    <w:rsid w:val="00494DF0"/>
    <w:rsid w:val="00496394"/>
    <w:rsid w:val="00497C52"/>
    <w:rsid w:val="004B5CBB"/>
    <w:rsid w:val="004C1622"/>
    <w:rsid w:val="004D3935"/>
    <w:rsid w:val="004D4A81"/>
    <w:rsid w:val="004E79C2"/>
    <w:rsid w:val="004F566E"/>
    <w:rsid w:val="004F6BE7"/>
    <w:rsid w:val="00503AAC"/>
    <w:rsid w:val="005058F9"/>
    <w:rsid w:val="00507D79"/>
    <w:rsid w:val="00510F98"/>
    <w:rsid w:val="0053199A"/>
    <w:rsid w:val="00536E3B"/>
    <w:rsid w:val="00540383"/>
    <w:rsid w:val="005463E0"/>
    <w:rsid w:val="0056532D"/>
    <w:rsid w:val="00565A50"/>
    <w:rsid w:val="00567D14"/>
    <w:rsid w:val="00581552"/>
    <w:rsid w:val="00587108"/>
    <w:rsid w:val="00587CFD"/>
    <w:rsid w:val="00593CFF"/>
    <w:rsid w:val="005A20DC"/>
    <w:rsid w:val="005A212D"/>
    <w:rsid w:val="005B0890"/>
    <w:rsid w:val="005B209D"/>
    <w:rsid w:val="005D3727"/>
    <w:rsid w:val="005D45F5"/>
    <w:rsid w:val="005E373F"/>
    <w:rsid w:val="005E654D"/>
    <w:rsid w:val="00601ECA"/>
    <w:rsid w:val="00604275"/>
    <w:rsid w:val="00616540"/>
    <w:rsid w:val="00616E7F"/>
    <w:rsid w:val="00626351"/>
    <w:rsid w:val="00632BAD"/>
    <w:rsid w:val="00633C07"/>
    <w:rsid w:val="00636528"/>
    <w:rsid w:val="00640A98"/>
    <w:rsid w:val="006429FF"/>
    <w:rsid w:val="006461A2"/>
    <w:rsid w:val="0065757F"/>
    <w:rsid w:val="0065758D"/>
    <w:rsid w:val="00671C12"/>
    <w:rsid w:val="0067288D"/>
    <w:rsid w:val="00675B9E"/>
    <w:rsid w:val="0069183B"/>
    <w:rsid w:val="00692B4B"/>
    <w:rsid w:val="006975A7"/>
    <w:rsid w:val="006A3EA4"/>
    <w:rsid w:val="006A490C"/>
    <w:rsid w:val="006A5895"/>
    <w:rsid w:val="006A710D"/>
    <w:rsid w:val="006D327D"/>
    <w:rsid w:val="006D5CD0"/>
    <w:rsid w:val="006D699C"/>
    <w:rsid w:val="006D79F9"/>
    <w:rsid w:val="006E05BE"/>
    <w:rsid w:val="006F33BF"/>
    <w:rsid w:val="007014ED"/>
    <w:rsid w:val="007049CB"/>
    <w:rsid w:val="00714612"/>
    <w:rsid w:val="007234B9"/>
    <w:rsid w:val="0072734B"/>
    <w:rsid w:val="0073351D"/>
    <w:rsid w:val="007367A5"/>
    <w:rsid w:val="00736B54"/>
    <w:rsid w:val="007525C0"/>
    <w:rsid w:val="007559F0"/>
    <w:rsid w:val="00760F97"/>
    <w:rsid w:val="00765487"/>
    <w:rsid w:val="00772170"/>
    <w:rsid w:val="00773F4A"/>
    <w:rsid w:val="00780D02"/>
    <w:rsid w:val="00786E1B"/>
    <w:rsid w:val="007A1C2B"/>
    <w:rsid w:val="007B2F5E"/>
    <w:rsid w:val="007C421A"/>
    <w:rsid w:val="007C4407"/>
    <w:rsid w:val="007C6E31"/>
    <w:rsid w:val="007D4AE6"/>
    <w:rsid w:val="007D56F4"/>
    <w:rsid w:val="007E0524"/>
    <w:rsid w:val="007E1096"/>
    <w:rsid w:val="007E4456"/>
    <w:rsid w:val="00800623"/>
    <w:rsid w:val="00806A93"/>
    <w:rsid w:val="00806C61"/>
    <w:rsid w:val="00812F7E"/>
    <w:rsid w:val="008134CC"/>
    <w:rsid w:val="00813CBE"/>
    <w:rsid w:val="00836125"/>
    <w:rsid w:val="00836C04"/>
    <w:rsid w:val="008524F0"/>
    <w:rsid w:val="00854E07"/>
    <w:rsid w:val="00873CDA"/>
    <w:rsid w:val="0089301F"/>
    <w:rsid w:val="00895523"/>
    <w:rsid w:val="008A4141"/>
    <w:rsid w:val="008B0734"/>
    <w:rsid w:val="008B632A"/>
    <w:rsid w:val="008D0EB0"/>
    <w:rsid w:val="008F275A"/>
    <w:rsid w:val="009008C3"/>
    <w:rsid w:val="00903303"/>
    <w:rsid w:val="00916634"/>
    <w:rsid w:val="00927AB5"/>
    <w:rsid w:val="00940FF3"/>
    <w:rsid w:val="0094258C"/>
    <w:rsid w:val="00946708"/>
    <w:rsid w:val="0096573E"/>
    <w:rsid w:val="0096764F"/>
    <w:rsid w:val="0099267E"/>
    <w:rsid w:val="009C1F01"/>
    <w:rsid w:val="009C5329"/>
    <w:rsid w:val="009C7C6A"/>
    <w:rsid w:val="009D28D6"/>
    <w:rsid w:val="009D563B"/>
    <w:rsid w:val="009E08D4"/>
    <w:rsid w:val="009E3090"/>
    <w:rsid w:val="009F568C"/>
    <w:rsid w:val="00A04F3F"/>
    <w:rsid w:val="00A06954"/>
    <w:rsid w:val="00A121C2"/>
    <w:rsid w:val="00A13168"/>
    <w:rsid w:val="00A14009"/>
    <w:rsid w:val="00A2052B"/>
    <w:rsid w:val="00A22FA3"/>
    <w:rsid w:val="00A32EA9"/>
    <w:rsid w:val="00A354B8"/>
    <w:rsid w:val="00A354FE"/>
    <w:rsid w:val="00A37B93"/>
    <w:rsid w:val="00A443B4"/>
    <w:rsid w:val="00A510FF"/>
    <w:rsid w:val="00A518EE"/>
    <w:rsid w:val="00A63265"/>
    <w:rsid w:val="00A633F1"/>
    <w:rsid w:val="00A83D09"/>
    <w:rsid w:val="00A84AAE"/>
    <w:rsid w:val="00A85EC5"/>
    <w:rsid w:val="00A94834"/>
    <w:rsid w:val="00A9579A"/>
    <w:rsid w:val="00AA148E"/>
    <w:rsid w:val="00AB4AAE"/>
    <w:rsid w:val="00AB51AF"/>
    <w:rsid w:val="00AC23B1"/>
    <w:rsid w:val="00AD6928"/>
    <w:rsid w:val="00AD6E9A"/>
    <w:rsid w:val="00AE2C13"/>
    <w:rsid w:val="00AE7F03"/>
    <w:rsid w:val="00AF3E4F"/>
    <w:rsid w:val="00AF4FB0"/>
    <w:rsid w:val="00AF62EC"/>
    <w:rsid w:val="00B04075"/>
    <w:rsid w:val="00B04EAF"/>
    <w:rsid w:val="00B06C5D"/>
    <w:rsid w:val="00B1330E"/>
    <w:rsid w:val="00B1536E"/>
    <w:rsid w:val="00B16669"/>
    <w:rsid w:val="00B27F4C"/>
    <w:rsid w:val="00B326CF"/>
    <w:rsid w:val="00B36DEC"/>
    <w:rsid w:val="00B62F04"/>
    <w:rsid w:val="00B63115"/>
    <w:rsid w:val="00B67B9B"/>
    <w:rsid w:val="00B87E76"/>
    <w:rsid w:val="00B9727B"/>
    <w:rsid w:val="00B97A0C"/>
    <w:rsid w:val="00BA00FC"/>
    <w:rsid w:val="00BA3912"/>
    <w:rsid w:val="00BA547A"/>
    <w:rsid w:val="00BB02E3"/>
    <w:rsid w:val="00BC5D4C"/>
    <w:rsid w:val="00BC5E5F"/>
    <w:rsid w:val="00BD2A1B"/>
    <w:rsid w:val="00BF5EAA"/>
    <w:rsid w:val="00C0088B"/>
    <w:rsid w:val="00C03B5B"/>
    <w:rsid w:val="00C07D01"/>
    <w:rsid w:val="00C2359E"/>
    <w:rsid w:val="00C2392A"/>
    <w:rsid w:val="00C303A7"/>
    <w:rsid w:val="00C30981"/>
    <w:rsid w:val="00C42DD5"/>
    <w:rsid w:val="00C46752"/>
    <w:rsid w:val="00C56D87"/>
    <w:rsid w:val="00C6144A"/>
    <w:rsid w:val="00C6215F"/>
    <w:rsid w:val="00C65FAC"/>
    <w:rsid w:val="00C8022E"/>
    <w:rsid w:val="00C87865"/>
    <w:rsid w:val="00C91EFB"/>
    <w:rsid w:val="00C9301D"/>
    <w:rsid w:val="00C932F5"/>
    <w:rsid w:val="00CC4995"/>
    <w:rsid w:val="00CD41C1"/>
    <w:rsid w:val="00CF276B"/>
    <w:rsid w:val="00CF6310"/>
    <w:rsid w:val="00D03DF0"/>
    <w:rsid w:val="00D1286C"/>
    <w:rsid w:val="00D15F20"/>
    <w:rsid w:val="00D375D0"/>
    <w:rsid w:val="00D51B87"/>
    <w:rsid w:val="00D66768"/>
    <w:rsid w:val="00D768C5"/>
    <w:rsid w:val="00D85611"/>
    <w:rsid w:val="00D94F45"/>
    <w:rsid w:val="00DA25E3"/>
    <w:rsid w:val="00DA577E"/>
    <w:rsid w:val="00DA757D"/>
    <w:rsid w:val="00DB1CEC"/>
    <w:rsid w:val="00DB3FFB"/>
    <w:rsid w:val="00DB7969"/>
    <w:rsid w:val="00DC1D81"/>
    <w:rsid w:val="00DE7B96"/>
    <w:rsid w:val="00DF09CA"/>
    <w:rsid w:val="00E03A4C"/>
    <w:rsid w:val="00E07370"/>
    <w:rsid w:val="00E1084A"/>
    <w:rsid w:val="00E26164"/>
    <w:rsid w:val="00E318B4"/>
    <w:rsid w:val="00E51CB5"/>
    <w:rsid w:val="00E619F9"/>
    <w:rsid w:val="00E61D3C"/>
    <w:rsid w:val="00E676CD"/>
    <w:rsid w:val="00E80212"/>
    <w:rsid w:val="00E83E6E"/>
    <w:rsid w:val="00E841A9"/>
    <w:rsid w:val="00E8520E"/>
    <w:rsid w:val="00E86A54"/>
    <w:rsid w:val="00EA68B1"/>
    <w:rsid w:val="00EB1611"/>
    <w:rsid w:val="00EB389C"/>
    <w:rsid w:val="00EB5413"/>
    <w:rsid w:val="00F02A7A"/>
    <w:rsid w:val="00F0519D"/>
    <w:rsid w:val="00F07EAC"/>
    <w:rsid w:val="00F215D2"/>
    <w:rsid w:val="00F2583B"/>
    <w:rsid w:val="00F335DC"/>
    <w:rsid w:val="00F354F5"/>
    <w:rsid w:val="00F41B9B"/>
    <w:rsid w:val="00F457EF"/>
    <w:rsid w:val="00F4720A"/>
    <w:rsid w:val="00F66C2E"/>
    <w:rsid w:val="00F757E3"/>
    <w:rsid w:val="00F86ECE"/>
    <w:rsid w:val="00FA58B1"/>
    <w:rsid w:val="00FB3447"/>
    <w:rsid w:val="00FC26D1"/>
    <w:rsid w:val="00FC5E7C"/>
    <w:rsid w:val="00FC7B76"/>
    <w:rsid w:val="00FD22A0"/>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20"/>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FB3447"/>
    <w:rPr>
      <w:sz w:val="16"/>
      <w:szCs w:val="16"/>
    </w:rPr>
  </w:style>
  <w:style w:type="paragraph" w:styleId="Kommentartext">
    <w:name w:val="annotation text"/>
    <w:basedOn w:val="Standard"/>
    <w:link w:val="KommentartextZchn"/>
    <w:uiPriority w:val="99"/>
    <w:semiHidden/>
    <w:rsid w:val="00FB34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3447"/>
    <w:rPr>
      <w:sz w:val="20"/>
      <w:szCs w:val="20"/>
    </w:rPr>
  </w:style>
  <w:style w:type="paragraph" w:styleId="Kommentarthema">
    <w:name w:val="annotation subject"/>
    <w:basedOn w:val="Kommentartext"/>
    <w:next w:val="Kommentartext"/>
    <w:link w:val="KommentarthemaZchn"/>
    <w:uiPriority w:val="99"/>
    <w:semiHidden/>
    <w:rsid w:val="00FB3447"/>
    <w:rPr>
      <w:b/>
      <w:bCs/>
    </w:rPr>
  </w:style>
  <w:style w:type="character" w:customStyle="1" w:styleId="KommentarthemaZchn">
    <w:name w:val="Kommentarthema Zchn"/>
    <w:basedOn w:val="KommentartextZchn"/>
    <w:link w:val="Kommentarthema"/>
    <w:uiPriority w:val="99"/>
    <w:semiHidden/>
    <w:rsid w:val="00FB3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3627">
      <w:bodyDiv w:val="1"/>
      <w:marLeft w:val="0"/>
      <w:marRight w:val="0"/>
      <w:marTop w:val="0"/>
      <w:marBottom w:val="0"/>
      <w:divBdr>
        <w:top w:val="none" w:sz="0" w:space="0" w:color="auto"/>
        <w:left w:val="none" w:sz="0" w:space="0" w:color="auto"/>
        <w:bottom w:val="none" w:sz="0" w:space="0" w:color="auto"/>
        <w:right w:val="none" w:sz="0" w:space="0" w:color="auto"/>
      </w:divBdr>
    </w:div>
    <w:div w:id="928001889">
      <w:bodyDiv w:val="1"/>
      <w:marLeft w:val="0"/>
      <w:marRight w:val="0"/>
      <w:marTop w:val="0"/>
      <w:marBottom w:val="0"/>
      <w:divBdr>
        <w:top w:val="none" w:sz="0" w:space="0" w:color="auto"/>
        <w:left w:val="none" w:sz="0" w:space="0" w:color="auto"/>
        <w:bottom w:val="none" w:sz="0" w:space="0" w:color="auto"/>
        <w:right w:val="none" w:sz="0" w:space="0" w:color="auto"/>
      </w:divBdr>
    </w:div>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48D5"/>
    <w:rsid w:val="00117D81"/>
    <w:rsid w:val="004C0B27"/>
    <w:rsid w:val="00534142"/>
    <w:rsid w:val="00565A50"/>
    <w:rsid w:val="00870A34"/>
    <w:rsid w:val="009724BC"/>
    <w:rsid w:val="00A51497"/>
    <w:rsid w:val="00B36C91"/>
    <w:rsid w:val="00B44DBD"/>
    <w:rsid w:val="00DD7A09"/>
    <w:rsid w:val="00DE210A"/>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0a4dd7274cd9786b37092002b2a5cfc6">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0772e9dc68393300d049e4d394d9fe34"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2.xml><?xml version="1.0" encoding="utf-8"?>
<ds:datastoreItem xmlns:ds="http://schemas.openxmlformats.org/officeDocument/2006/customXml" ds:itemID="{6A2D486A-D515-438C-B75D-B6F168346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4.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3</cp:revision>
  <cp:lastPrinted>2022-05-25T12:56:00Z</cp:lastPrinted>
  <dcterms:created xsi:type="dcterms:W3CDTF">2025-09-18T12:18:00Z</dcterms:created>
  <dcterms:modified xsi:type="dcterms:W3CDTF">2025-09-18T12:21:00Z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